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7C" w:rsidRDefault="00D90F11" w:rsidP="00D90F11">
      <w:pPr>
        <w:ind w:left="4962"/>
        <w:rPr>
          <w:b/>
          <w:sz w:val="28"/>
          <w:szCs w:val="28"/>
          <w:lang w:val="uk-UA"/>
        </w:rPr>
      </w:pPr>
      <w:r w:rsidRPr="00D90F11">
        <w:rPr>
          <w:b/>
          <w:sz w:val="28"/>
          <w:szCs w:val="28"/>
          <w:lang w:val="uk-UA"/>
        </w:rPr>
        <w:t xml:space="preserve">Додаток 3 </w:t>
      </w:r>
    </w:p>
    <w:p w:rsidR="00D90F11" w:rsidRDefault="00D90F11" w:rsidP="00D90F11">
      <w:pPr>
        <w:ind w:left="4962"/>
        <w:rPr>
          <w:b/>
          <w:sz w:val="28"/>
          <w:szCs w:val="28"/>
          <w:lang w:val="uk-UA"/>
        </w:rPr>
      </w:pPr>
      <w:r w:rsidRPr="00D90F11">
        <w:rPr>
          <w:b/>
          <w:sz w:val="28"/>
          <w:szCs w:val="28"/>
          <w:lang w:val="uk-UA"/>
        </w:rPr>
        <w:t xml:space="preserve">до </w:t>
      </w:r>
      <w:r w:rsidR="0086567C">
        <w:rPr>
          <w:b/>
          <w:sz w:val="28"/>
          <w:szCs w:val="28"/>
          <w:lang w:val="uk-UA"/>
        </w:rPr>
        <w:t>В</w:t>
      </w:r>
      <w:bookmarkStart w:id="0" w:name="_GoBack"/>
      <w:bookmarkEnd w:id="0"/>
      <w:r w:rsidRPr="00D90F11">
        <w:rPr>
          <w:b/>
          <w:sz w:val="28"/>
          <w:szCs w:val="28"/>
          <w:lang w:val="uk-UA"/>
        </w:rPr>
        <w:t xml:space="preserve">имог до </w:t>
      </w:r>
      <w:proofErr w:type="spellStart"/>
      <w:r w:rsidRPr="00D90F11">
        <w:rPr>
          <w:b/>
          <w:sz w:val="28"/>
          <w:szCs w:val="28"/>
          <w:lang w:val="uk-UA"/>
        </w:rPr>
        <w:t>проєктів</w:t>
      </w:r>
      <w:proofErr w:type="spellEnd"/>
      <w:r w:rsidRPr="00D90F11">
        <w:rPr>
          <w:b/>
          <w:sz w:val="28"/>
          <w:szCs w:val="28"/>
          <w:lang w:val="uk-UA"/>
        </w:rPr>
        <w:t xml:space="preserve"> досліджень і науково-технічних (експериментальних) розробок, які подаються на Конкурс </w:t>
      </w:r>
    </w:p>
    <w:p w:rsidR="00D90F11" w:rsidRPr="00D90F11" w:rsidRDefault="00D90F11" w:rsidP="00D90F11">
      <w:pPr>
        <w:ind w:left="4962"/>
        <w:rPr>
          <w:b/>
          <w:sz w:val="28"/>
          <w:szCs w:val="28"/>
          <w:lang w:val="uk-UA"/>
        </w:rPr>
      </w:pPr>
      <w:r w:rsidRPr="00D90F11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 xml:space="preserve">підпункт 3 </w:t>
      </w:r>
      <w:r w:rsidRPr="00D90F11">
        <w:rPr>
          <w:b/>
          <w:sz w:val="28"/>
          <w:szCs w:val="28"/>
          <w:lang w:val="uk-UA"/>
        </w:rPr>
        <w:t>пункт</w:t>
      </w:r>
      <w:r w:rsidR="0086567C">
        <w:rPr>
          <w:b/>
          <w:sz w:val="28"/>
          <w:szCs w:val="28"/>
        </w:rPr>
        <w:t>у</w:t>
      </w:r>
      <w:r w:rsidRPr="00D90F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Pr="00D90F11">
        <w:rPr>
          <w:b/>
          <w:sz w:val="28"/>
          <w:szCs w:val="28"/>
          <w:lang w:val="uk-UA"/>
        </w:rPr>
        <w:t>)</w:t>
      </w:r>
    </w:p>
    <w:p w:rsidR="00D90F11" w:rsidRPr="00D90F11" w:rsidRDefault="00D90F11" w:rsidP="00D90F11">
      <w:pPr>
        <w:rPr>
          <w:sz w:val="28"/>
          <w:szCs w:val="28"/>
          <w:lang w:val="uk-UA"/>
        </w:rPr>
      </w:pPr>
    </w:p>
    <w:p w:rsidR="00D90F11" w:rsidRDefault="00D90F11" w:rsidP="00D90F11">
      <w:pPr>
        <w:pStyle w:val="a4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Перелік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спеціальних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тематичних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напрямів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які</w:t>
      </w:r>
      <w:proofErr w:type="spellEnd"/>
      <w:r>
        <w:rPr>
          <w:b/>
          <w:bCs/>
          <w:color w:val="000000"/>
          <w:sz w:val="28"/>
          <w:szCs w:val="28"/>
        </w:rPr>
        <w:t xml:space="preserve"> є</w:t>
      </w:r>
    </w:p>
    <w:p w:rsidR="00D90F11" w:rsidRDefault="00D90F11" w:rsidP="00D90F11">
      <w:pPr>
        <w:pStyle w:val="a4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пріоритетними</w:t>
      </w:r>
      <w:proofErr w:type="spellEnd"/>
      <w:r>
        <w:rPr>
          <w:b/>
          <w:bCs/>
          <w:color w:val="000000"/>
          <w:sz w:val="28"/>
          <w:szCs w:val="28"/>
        </w:rPr>
        <w:t xml:space="preserve"> для </w:t>
      </w:r>
      <w:proofErr w:type="spellStart"/>
      <w:r>
        <w:rPr>
          <w:b/>
          <w:bCs/>
          <w:color w:val="000000"/>
          <w:sz w:val="28"/>
          <w:szCs w:val="28"/>
        </w:rPr>
        <w:t>вирішення</w:t>
      </w:r>
      <w:proofErr w:type="spellEnd"/>
      <w:r>
        <w:rPr>
          <w:b/>
          <w:bCs/>
          <w:color w:val="000000"/>
          <w:sz w:val="28"/>
          <w:szCs w:val="28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</w:rPr>
        <w:t>сфері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відповідальності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у 2027 </w:t>
      </w:r>
      <w:proofErr w:type="spellStart"/>
      <w:r>
        <w:rPr>
          <w:b/>
          <w:bCs/>
          <w:color w:val="000000"/>
          <w:sz w:val="28"/>
          <w:szCs w:val="28"/>
        </w:rPr>
        <w:t>році</w:t>
      </w:r>
      <w:proofErr w:type="spellEnd"/>
    </w:p>
    <w:p w:rsidR="00D90F11" w:rsidRDefault="00D90F11" w:rsidP="00D90F11">
      <w:pPr>
        <w:spacing w:after="240"/>
      </w:pPr>
    </w:p>
    <w:tbl>
      <w:tblPr>
        <w:tblW w:w="10020" w:type="dxa"/>
        <w:tblInd w:w="-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280"/>
        <w:gridCol w:w="2470"/>
        <w:gridCol w:w="3473"/>
        <w:gridCol w:w="1193"/>
        <w:gridCol w:w="1227"/>
      </w:tblGrid>
      <w:tr w:rsidR="00D90F11" w:rsidTr="00043B0F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ind w:left="-111" w:right="-105"/>
              <w:jc w:val="center"/>
            </w:pPr>
            <w:r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0F11" w:rsidRDefault="00D90F11" w:rsidP="00D90F11">
            <w:pPr>
              <w:pStyle w:val="a4"/>
            </w:pPr>
            <w:proofErr w:type="spellStart"/>
            <w:r>
              <w:rPr>
                <w:color w:val="000000"/>
                <w:sz w:val="20"/>
                <w:szCs w:val="20"/>
              </w:rPr>
              <w:t>Науковий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напрям</w:t>
            </w:r>
            <w:proofErr w:type="spellEnd"/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D90F11">
            <w:pPr>
              <w:pStyle w:val="a4"/>
            </w:pPr>
            <w:proofErr w:type="spellStart"/>
            <w:r>
              <w:rPr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тематичний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напрям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D90F11">
            <w:pPr>
              <w:pStyle w:val="a4"/>
            </w:pPr>
            <w:r>
              <w:rPr>
                <w:color w:val="000000"/>
                <w:sz w:val="20"/>
                <w:szCs w:val="20"/>
              </w:rPr>
              <w:t xml:space="preserve">Короткий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D90F11">
            <w:pPr>
              <w:pStyle w:val="a4"/>
              <w:ind w:left="-98" w:right="-103"/>
            </w:pPr>
            <w:proofErr w:type="spellStart"/>
            <w:r>
              <w:rPr>
                <w:color w:val="000000"/>
                <w:sz w:val="20"/>
                <w:szCs w:val="20"/>
              </w:rPr>
              <w:t>Очікуваний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термін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актуальності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D90F11">
            <w:pPr>
              <w:pStyle w:val="a4"/>
              <w:ind w:left="-98" w:right="-103"/>
            </w:pPr>
            <w:proofErr w:type="spellStart"/>
            <w:r>
              <w:rPr>
                <w:color w:val="000000"/>
                <w:sz w:val="20"/>
                <w:szCs w:val="20"/>
              </w:rPr>
              <w:t>Готовність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супроводу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призначення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куратора </w:t>
            </w:r>
            <w:proofErr w:type="spellStart"/>
            <w:r>
              <w:rPr>
                <w:color w:val="000000"/>
                <w:sz w:val="20"/>
                <w:szCs w:val="20"/>
              </w:rPr>
              <w:t>тощо</w:t>
            </w:r>
            <w:proofErr w:type="spellEnd"/>
          </w:p>
        </w:tc>
      </w:tr>
      <w:tr w:rsidR="00D90F11" w:rsidTr="00043B0F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ind w:left="-111" w:right="-105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0F11" w:rsidRDefault="00D90F11" w:rsidP="008026B5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90F11" w:rsidTr="00043B0F">
        <w:tc>
          <w:tcPr>
            <w:tcW w:w="10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8026B5">
            <w:pPr>
              <w:pStyle w:val="a4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Міністерство</w:t>
            </w:r>
            <w:proofErr w:type="spellEnd"/>
            <w:r>
              <w:rPr>
                <w:b/>
                <w:bCs/>
                <w:color w:val="000000"/>
              </w:rPr>
              <w:t xml:space="preserve"> оборони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</w:tr>
      <w:tr w:rsidR="00D90F11" w:rsidTr="00043B0F">
        <w:trPr>
          <w:trHeight w:val="220"/>
        </w:trPr>
        <w:tc>
          <w:tcPr>
            <w:tcW w:w="3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F11" w:rsidRDefault="00D90F11" w:rsidP="00D90F11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Національна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безпека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оборона</w:t>
            </w:r>
          </w:p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MESH-</w:t>
            </w:r>
            <w:proofErr w:type="spellStart"/>
            <w:r>
              <w:rPr>
                <w:color w:val="000000"/>
                <w:sz w:val="22"/>
                <w:szCs w:val="22"/>
              </w:rPr>
              <w:t>зв’язку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керування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систем </w:t>
            </w:r>
            <w:proofErr w:type="spellStart"/>
            <w:r>
              <w:rPr>
                <w:color w:val="000000"/>
                <w:sz w:val="22"/>
                <w:szCs w:val="22"/>
              </w:rPr>
              <w:t>бездротової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мережевої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взаємодії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стійкого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керування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безпілотними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літальними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апаратами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складних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D90F11" w:rsidTr="00043B0F">
        <w:trPr>
          <w:trHeight w:val="98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D90F11">
            <w:pPr>
              <w:pStyle w:val="a4"/>
              <w:numPr>
                <w:ilvl w:val="0"/>
                <w:numId w:val="2"/>
              </w:numPr>
              <w:ind w:right="-10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Підвищення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живучості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шляхом </w:t>
            </w:r>
            <w:proofErr w:type="spellStart"/>
            <w:r>
              <w:rPr>
                <w:color w:val="000000"/>
                <w:sz w:val="22"/>
                <w:szCs w:val="22"/>
              </w:rPr>
              <w:t>формування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хибних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цілей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пристроїв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імітують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сигнатури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введення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оману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засобів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протиповітряної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оборони.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D90F11" w:rsidTr="00043B0F">
        <w:trPr>
          <w:trHeight w:val="22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D90F11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завад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пристроїв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викиду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завад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протидії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ракетам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наведенням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D90F11" w:rsidTr="00043B0F">
        <w:trPr>
          <w:trHeight w:val="22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D90F11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Автоматичне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джерела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випромінювання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систем </w:t>
            </w:r>
            <w:proofErr w:type="spellStart"/>
            <w:r>
              <w:rPr>
                <w:color w:val="000000"/>
                <w:sz w:val="22"/>
                <w:szCs w:val="22"/>
              </w:rPr>
              <w:t>наведення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радіолокаційні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засоби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радіоелектронної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боротьби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противника.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D90F11" w:rsidTr="00043B0F">
        <w:trPr>
          <w:trHeight w:val="22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D90F11">
            <w:pPr>
              <w:numPr>
                <w:ilvl w:val="0"/>
                <w:numId w:val="5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Протидія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БпЛА-перехоплювачам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систем </w:t>
            </w:r>
            <w:proofErr w:type="spellStart"/>
            <w:r>
              <w:rPr>
                <w:color w:val="000000"/>
                <w:sz w:val="22"/>
                <w:szCs w:val="22"/>
              </w:rPr>
              <w:t>захисту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атак </w:t>
            </w:r>
            <w:proofErr w:type="spellStart"/>
            <w:r>
              <w:rPr>
                <w:color w:val="000000"/>
                <w:sz w:val="22"/>
                <w:szCs w:val="22"/>
              </w:rPr>
              <w:t>ворожих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безпілотних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перехоплювачів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D90F11" w:rsidTr="00043B0F">
        <w:trPr>
          <w:trHeight w:val="22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D90F11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Автоматичне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захоплення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цілі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РЕБ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систем автономного </w:t>
            </w:r>
            <w:proofErr w:type="spellStart"/>
            <w:r>
              <w:rPr>
                <w:color w:val="000000"/>
                <w:sz w:val="22"/>
                <w:szCs w:val="22"/>
              </w:rPr>
              <w:t>розпізнавання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супроводу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цілей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радіоелектронній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протидії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D90F11" w:rsidTr="00043B0F">
        <w:trPr>
          <w:trHeight w:val="22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D90F11">
            <w:pPr>
              <w:numPr>
                <w:ilvl w:val="0"/>
                <w:numId w:val="7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F11" w:rsidRDefault="00D90F11" w:rsidP="008026B5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польотів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РЕБ та </w:t>
            </w:r>
            <w:proofErr w:type="spellStart"/>
            <w:r>
              <w:rPr>
                <w:color w:val="000000"/>
                <w:sz w:val="22"/>
                <w:szCs w:val="22"/>
              </w:rPr>
              <w:t>втрати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GNSS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навігаційних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керуючих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систем для </w:t>
            </w:r>
            <w:proofErr w:type="spellStart"/>
            <w:r>
              <w:rPr>
                <w:color w:val="000000"/>
                <w:sz w:val="22"/>
                <w:szCs w:val="22"/>
              </w:rPr>
              <w:t>зльоту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польоту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БпЛА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приглушення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супутникової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навігації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дії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дружнього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РЕБ.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11" w:rsidRDefault="00D90F11" w:rsidP="008026B5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</w:tbl>
    <w:p w:rsidR="00043B0F" w:rsidRDefault="00043B0F">
      <w:r>
        <w:br w:type="page"/>
      </w:r>
    </w:p>
    <w:tbl>
      <w:tblPr>
        <w:tblW w:w="10207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280"/>
        <w:gridCol w:w="2470"/>
        <w:gridCol w:w="3473"/>
        <w:gridCol w:w="12"/>
        <w:gridCol w:w="1162"/>
        <w:gridCol w:w="19"/>
        <w:gridCol w:w="1227"/>
      </w:tblGrid>
      <w:tr w:rsidR="00043B0F" w:rsidTr="00043B0F">
        <w:trPr>
          <w:trHeight w:val="272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B0F" w:rsidRDefault="00043B0F" w:rsidP="00043B0F">
            <w:pPr>
              <w:pStyle w:val="a4"/>
              <w:ind w:left="-111" w:right="-105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43B0F" w:rsidRDefault="00043B0F" w:rsidP="00043B0F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B0F" w:rsidRDefault="00043B0F" w:rsidP="00043B0F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B0F" w:rsidRDefault="00043B0F" w:rsidP="00043B0F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43B0F" w:rsidTr="00043B0F">
        <w:trPr>
          <w:trHeight w:val="12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Default="00043B0F" w:rsidP="00043B0F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ind w:left="-161" w:firstLine="7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Інформаційні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електроніка</w:t>
            </w:r>
            <w:proofErr w:type="spellEnd"/>
          </w:p>
          <w:p w:rsidR="00043B0F" w:rsidRDefault="00043B0F" w:rsidP="00043B0F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Технологія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виготовлення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складових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частин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перспективної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авіаційної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радіолокаційної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станції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виготовлення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приймально-передавального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модуля (ППМ) та </w:t>
            </w:r>
            <w:proofErr w:type="spellStart"/>
            <w:r>
              <w:rPr>
                <w:color w:val="000000"/>
                <w:sz w:val="22"/>
                <w:szCs w:val="22"/>
              </w:rPr>
              <w:t>фазообертача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активної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фазованої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антенної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решітки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перспективної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радіолокаційної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літаків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тактичної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авіації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Повітряних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Сил </w:t>
            </w:r>
            <w:proofErr w:type="spellStart"/>
            <w:r>
              <w:rPr>
                <w:color w:val="000000"/>
                <w:sz w:val="22"/>
                <w:szCs w:val="22"/>
              </w:rPr>
              <w:t>Збройних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Сил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numPr>
                <w:ilvl w:val="0"/>
                <w:numId w:val="9"/>
              </w:numPr>
              <w:spacing w:before="100" w:beforeAutospacing="1" w:after="100" w:afterAutospacing="1"/>
              <w:ind w:left="-50" w:firstLine="5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0F" w:rsidRDefault="00043B0F" w:rsidP="00043B0F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Технологія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виготовлення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MEMS – </w:t>
            </w:r>
            <w:proofErr w:type="spellStart"/>
            <w:r>
              <w:rPr>
                <w:color w:val="000000"/>
                <w:sz w:val="22"/>
                <w:szCs w:val="22"/>
              </w:rPr>
              <w:t>мікроелектромеханічних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систем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виготовлення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елементів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(датчики, приводи, </w:t>
            </w:r>
            <w:proofErr w:type="spellStart"/>
            <w:r>
              <w:rPr>
                <w:color w:val="000000"/>
                <w:sz w:val="22"/>
                <w:szCs w:val="22"/>
              </w:rPr>
              <w:t>акселерометри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гіроскопи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та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електронних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схем на </w:t>
            </w:r>
            <w:proofErr w:type="spellStart"/>
            <w:r>
              <w:rPr>
                <w:color w:val="000000"/>
                <w:sz w:val="22"/>
                <w:szCs w:val="22"/>
              </w:rPr>
              <w:t>кремнієвому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чипі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системах (у тому </w:t>
            </w:r>
            <w:proofErr w:type="spellStart"/>
            <w:r>
              <w:rPr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безплатформенних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інерціальних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</w:rPr>
              <w:t>літаків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тактичної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авіації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Повітряних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Сил </w:t>
            </w:r>
            <w:proofErr w:type="spellStart"/>
            <w:r>
              <w:rPr>
                <w:color w:val="000000"/>
                <w:sz w:val="22"/>
                <w:szCs w:val="22"/>
              </w:rPr>
              <w:t>Збройних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Сил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терміново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numPr>
                <w:ilvl w:val="0"/>
                <w:numId w:val="10"/>
              </w:numPr>
              <w:spacing w:before="100" w:beforeAutospacing="1" w:after="100" w:afterAutospacing="1"/>
              <w:ind w:left="-1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0F" w:rsidRDefault="00043B0F" w:rsidP="00043B0F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 xml:space="preserve">ШІ в </w:t>
            </w:r>
            <w:proofErr w:type="spellStart"/>
            <w:r>
              <w:rPr>
                <w:color w:val="000000"/>
                <w:sz w:val="22"/>
                <w:szCs w:val="22"/>
              </w:rPr>
              <w:t>плануванні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координації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об'єднаної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вогневої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підтримки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моделі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методів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розпізнавання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наземних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об’єктів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противника;</w:t>
            </w:r>
          </w:p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моделі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методів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підтримки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прийняття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рішень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невизначеності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спеціального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реалізації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процесів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розпізнавання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наземних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об’єктів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противника;</w:t>
            </w:r>
          </w:p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спеціального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підтримки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прийняття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рішення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етапах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координації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об’єднаної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вогневої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підтримки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ні</w:t>
            </w:r>
            <w:proofErr w:type="spellEnd"/>
          </w:p>
        </w:tc>
      </w:tr>
      <w:tr w:rsidR="00043B0F" w:rsidTr="00043B0F"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Default="00043B0F" w:rsidP="00043B0F">
            <w:pPr>
              <w:pStyle w:val="a4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Міністерство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цифрової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трансформації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Інформаційні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електроніка</w:t>
            </w:r>
            <w:proofErr w:type="spellEnd"/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</w:pPr>
            <w:proofErr w:type="spellStart"/>
            <w:r>
              <w:rPr>
                <w:color w:val="000000"/>
                <w:sz w:val="22"/>
                <w:szCs w:val="22"/>
              </w:rPr>
              <w:t>Методи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кіберзахисту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захисту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хмарних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середовищах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методик, </w:t>
            </w:r>
            <w:proofErr w:type="spellStart"/>
            <w:r>
              <w:rPr>
                <w:color w:val="000000"/>
                <w:sz w:val="22"/>
                <w:szCs w:val="22"/>
              </w:rPr>
              <w:t>алгоритмів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програмно-технічних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засобів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рішень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забезпечують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кіберзахист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захист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час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хмарних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послуг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доступом до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криптографічний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захист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безпечну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обробку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зберігання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 </w:t>
            </w:r>
            <w:proofErr w:type="spellStart"/>
            <w:r>
              <w:rPr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моніторинг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виявлення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реагування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кіберзагрози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хмарному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середовищі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Міністерство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культури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EC565C" w:rsidRDefault="00043B0F" w:rsidP="00043B0F">
            <w:pPr>
              <w:ind w:left="-298" w:right="-90" w:firstLine="280"/>
              <w:rPr>
                <w:sz w:val="22"/>
                <w:szCs w:val="22"/>
                <w:lang w:val="uk-UA"/>
              </w:rPr>
            </w:pPr>
            <w:r w:rsidRPr="00EC565C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Pr="00620D9B" w:rsidRDefault="00043B0F" w:rsidP="00043B0F">
            <w:pPr>
              <w:pStyle w:val="a4"/>
              <w:rPr>
                <w:lang w:val="uk-UA"/>
              </w:rPr>
            </w:pPr>
            <w:r w:rsidRPr="00620D9B">
              <w:rPr>
                <w:color w:val="000000"/>
                <w:sz w:val="22"/>
                <w:szCs w:val="22"/>
                <w:lang w:val="uk-UA"/>
              </w:rPr>
              <w:t>Гуманітарні науки і мистецтво</w:t>
            </w:r>
          </w:p>
          <w:p w:rsidR="00043B0F" w:rsidRPr="00620D9B" w:rsidRDefault="00043B0F" w:rsidP="00043B0F">
            <w:pPr>
              <w:pStyle w:val="a4"/>
              <w:rPr>
                <w:lang w:val="uk-UA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Збереження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війни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післявоєнного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відновлення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Комплексне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оцифрування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реставрація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захист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об’єктів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культурної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спадщини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сучасних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(3Dмоделювання, </w:t>
            </w:r>
            <w:proofErr w:type="spellStart"/>
            <w:r>
              <w:rPr>
                <w:color w:val="000000"/>
                <w:sz w:val="22"/>
                <w:szCs w:val="22"/>
              </w:rPr>
              <w:t>бази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сканування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). </w:t>
            </w:r>
            <w:proofErr w:type="spellStart"/>
            <w:r>
              <w:rPr>
                <w:color w:val="000000"/>
                <w:sz w:val="22"/>
                <w:szCs w:val="22"/>
              </w:rPr>
              <w:t>Передбачає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архівів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доступу до </w:t>
            </w:r>
            <w:proofErr w:type="spellStart"/>
            <w:r>
              <w:rPr>
                <w:color w:val="000000"/>
                <w:sz w:val="22"/>
                <w:szCs w:val="22"/>
              </w:rPr>
              <w:t>культурних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цінностей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 </w:t>
            </w:r>
            <w:proofErr w:type="spellStart"/>
            <w:r>
              <w:rPr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популяризацію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культурної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спадщини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національному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міжнародному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рівнях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043B0F" w:rsidRPr="00A6173C" w:rsidRDefault="00043B0F" w:rsidP="00043B0F">
            <w:pPr>
              <w:ind w:left="74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B0F" w:rsidRDefault="00043B0F" w:rsidP="00043B0F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Соціолінгвістичний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сучасної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ситуації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сучасної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ситуації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соціолінгвістичних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рекомендацій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щодо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зміцнення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позицій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української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як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приватному </w:t>
            </w:r>
            <w:proofErr w:type="spellStart"/>
            <w:r>
              <w:rPr>
                <w:color w:val="000000"/>
                <w:sz w:val="22"/>
                <w:szCs w:val="22"/>
              </w:rPr>
              <w:t>спілкуванні</w:t>
            </w:r>
            <w:proofErr w:type="spellEnd"/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Pr="00EC565C" w:rsidRDefault="00B7677F" w:rsidP="00043B0F">
            <w:pPr>
              <w:pStyle w:val="a4"/>
              <w:spacing w:after="160"/>
              <w:ind w:left="-98" w:right="-103"/>
              <w:jc w:val="center"/>
            </w:pPr>
            <w:hyperlink r:id="rId7" w:history="1">
              <w:proofErr w:type="spellStart"/>
              <w:r w:rsidR="00043B0F" w:rsidRPr="00EC565C">
                <w:rPr>
                  <w:rStyle w:val="a3"/>
                  <w:b/>
                  <w:bCs/>
                  <w:color w:val="000000"/>
                </w:rPr>
                <w:t>Міністерство</w:t>
              </w:r>
              <w:proofErr w:type="spellEnd"/>
              <w:r w:rsidR="00043B0F" w:rsidRPr="00EC565C">
                <w:rPr>
                  <w:rStyle w:val="a3"/>
                  <w:b/>
                  <w:bCs/>
                  <w:color w:val="000000"/>
                </w:rPr>
                <w:t xml:space="preserve"> </w:t>
              </w:r>
              <w:proofErr w:type="spellStart"/>
              <w:r w:rsidR="00043B0F" w:rsidRPr="00EC565C">
                <w:rPr>
                  <w:rStyle w:val="a3"/>
                  <w:b/>
                  <w:bCs/>
                  <w:color w:val="000000"/>
                </w:rPr>
                <w:t>внутрішніх</w:t>
              </w:r>
              <w:proofErr w:type="spellEnd"/>
              <w:r w:rsidR="00043B0F" w:rsidRPr="00EC565C">
                <w:rPr>
                  <w:rStyle w:val="a3"/>
                  <w:b/>
                  <w:bCs/>
                  <w:color w:val="000000"/>
                </w:rPr>
                <w:t xml:space="preserve"> справ </w:t>
              </w:r>
              <w:proofErr w:type="spellStart"/>
              <w:r w:rsidR="00043B0F" w:rsidRPr="00EC565C">
                <w:rPr>
                  <w:rStyle w:val="a3"/>
                  <w:b/>
                  <w:bCs/>
                  <w:color w:val="000000"/>
                </w:rPr>
                <w:t>України</w:t>
              </w:r>
              <w:proofErr w:type="spellEnd"/>
            </w:hyperlink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spacing w:before="100" w:beforeAutospacing="1" w:after="100" w:afterAutospacing="1"/>
              <w:ind w:hanging="8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14.</w:t>
            </w:r>
          </w:p>
          <w:p w:rsidR="00043B0F" w:rsidRPr="00A6173C" w:rsidRDefault="00043B0F" w:rsidP="00043B0F">
            <w:pPr>
              <w:spacing w:before="100" w:beforeAutospacing="1" w:after="100" w:afterAutospacing="1"/>
              <w:ind w:hanging="82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Національна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безпека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оборона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</w:pPr>
            <w:r>
              <w:rPr>
                <w:color w:val="000000"/>
                <w:sz w:val="22"/>
                <w:szCs w:val="22"/>
              </w:rPr>
              <w:t>OSINT-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викрадення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незаконного </w:t>
            </w:r>
            <w:proofErr w:type="spellStart"/>
            <w:r>
              <w:rPr>
                <w:color w:val="000000"/>
                <w:sz w:val="22"/>
                <w:szCs w:val="22"/>
              </w:rPr>
              <w:t>обігу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культурних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цінностей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3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методик, </w:t>
            </w:r>
            <w:proofErr w:type="spellStart"/>
            <w:r>
              <w:rPr>
                <w:color w:val="000000"/>
                <w:sz w:val="22"/>
                <w:szCs w:val="22"/>
              </w:rPr>
              <w:t>алгоритмів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організаційно-технологічної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інструментарію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OSINT,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забезпечують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ефективний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збір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верифікацію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збереження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доказів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викрадення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й нелегального </w:t>
            </w:r>
            <w:proofErr w:type="spellStart"/>
            <w:r>
              <w:rPr>
                <w:color w:val="000000"/>
                <w:sz w:val="22"/>
                <w:szCs w:val="22"/>
              </w:rPr>
              <w:t>обігу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культурних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цінностей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урахуванням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доказовості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відтворюваності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результатів</w:t>
            </w:r>
            <w:proofErr w:type="spellEnd"/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rPr>
          <w:trHeight w:val="429"/>
        </w:trPr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Default="00043B0F" w:rsidP="00043B0F">
            <w:pPr>
              <w:pStyle w:val="a4"/>
              <w:spacing w:after="160"/>
              <w:ind w:left="-98" w:right="-103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Міністерство</w:t>
            </w:r>
            <w:proofErr w:type="spellEnd"/>
            <w:r>
              <w:rPr>
                <w:b/>
                <w:bCs/>
                <w:color w:val="000000"/>
              </w:rPr>
              <w:t xml:space="preserve"> у справах </w:t>
            </w:r>
            <w:proofErr w:type="spellStart"/>
            <w:r>
              <w:rPr>
                <w:b/>
                <w:bCs/>
                <w:color w:val="000000"/>
              </w:rPr>
              <w:t>ветеранів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</w:tr>
      <w:tr w:rsidR="00043B0F" w:rsidTr="00043B0F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A6173C" w:rsidRDefault="00043B0F" w:rsidP="00043B0F">
            <w:pPr>
              <w:spacing w:before="100" w:beforeAutospacing="1" w:after="100" w:afterAutospacing="1"/>
              <w:ind w:right="-99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Розвиток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людського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капіталу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науки та </w:t>
            </w:r>
            <w:proofErr w:type="spellStart"/>
            <w:r>
              <w:rPr>
                <w:color w:val="000000"/>
                <w:sz w:val="22"/>
                <w:szCs w:val="22"/>
              </w:rPr>
              <w:t>журналістика</w:t>
            </w:r>
            <w:proofErr w:type="spellEnd"/>
          </w:p>
          <w:p w:rsidR="00043B0F" w:rsidRDefault="00043B0F" w:rsidP="00043B0F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Механізми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інтеграції </w:t>
            </w:r>
            <w:proofErr w:type="spellStart"/>
            <w:r>
              <w:rPr>
                <w:color w:val="000000"/>
                <w:sz w:val="22"/>
                <w:szCs w:val="22"/>
              </w:rPr>
              <w:t>ветеранів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цивільної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економіки</w:t>
            </w:r>
            <w:proofErr w:type="spellEnd"/>
          </w:p>
          <w:p w:rsidR="00043B0F" w:rsidRDefault="00043B0F" w:rsidP="00043B0F">
            <w:pPr>
              <w:spacing w:after="240"/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Default="00043B0F" w:rsidP="00043B0F">
            <w:pPr>
              <w:pStyle w:val="a4"/>
              <w:ind w:firstLine="181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Комплексне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бар’єрів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працевлаштування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ветеранів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війни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осіб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інвалідністю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внаслідок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війни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включаючи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питання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перекваліфікації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психосоціальної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адаптації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навичок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потребам ринку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ефективних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моделей переходу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військової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служби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цивільної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зайнятості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через </w:t>
            </w:r>
            <w:proofErr w:type="spellStart"/>
            <w:r>
              <w:rPr>
                <w:color w:val="000000"/>
                <w:sz w:val="22"/>
                <w:szCs w:val="22"/>
              </w:rPr>
              <w:t>самозайнятість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підприємницьку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діяльність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Формування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рекомендацій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щодо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політики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сфері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зайнятості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ветеранів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включаючи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стимули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роботодавців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розвиток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перекваліфікації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A6173C" w:rsidRDefault="00043B0F" w:rsidP="00043B0F">
            <w:pPr>
              <w:spacing w:before="100" w:beforeAutospacing="1" w:after="100" w:afterAutospacing="1"/>
              <w:ind w:right="-115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ind w:left="-111" w:right="-106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Економічні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бізнес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адміністрування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право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Ветеранське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підприємництво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як </w:t>
            </w:r>
            <w:proofErr w:type="spellStart"/>
            <w:r>
              <w:rPr>
                <w:color w:val="000000"/>
                <w:sz w:val="22"/>
                <w:szCs w:val="22"/>
              </w:rPr>
              <w:t>засіб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економічної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реінтеграції</w:t>
            </w:r>
            <w:proofErr w:type="spellEnd"/>
          </w:p>
          <w:p w:rsidR="00043B0F" w:rsidRDefault="00043B0F" w:rsidP="00043B0F">
            <w:pPr>
              <w:spacing w:after="240"/>
            </w:pP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Default="00043B0F" w:rsidP="00043B0F">
            <w:pPr>
              <w:pStyle w:val="a4"/>
              <w:ind w:firstLine="181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впливу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ветеранського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підприємництва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економічний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розвиток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територіальних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громад, </w:t>
            </w: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робочих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місць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відновлення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економіки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післявоєнної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трансформації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моделей </w:t>
            </w:r>
            <w:proofErr w:type="spellStart"/>
            <w:r>
              <w:rPr>
                <w:color w:val="000000"/>
                <w:sz w:val="22"/>
                <w:szCs w:val="22"/>
              </w:rPr>
              <w:t>регіональних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місцевих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підтримки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ветеранського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бізнесу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включаючи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екосистем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інкубатори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кластери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дорадчі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), а </w:t>
            </w:r>
            <w:proofErr w:type="spellStart"/>
            <w:r>
              <w:rPr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механізмів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координації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центральними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місцевими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органами </w:t>
            </w:r>
            <w:proofErr w:type="spellStart"/>
            <w:r>
              <w:rPr>
                <w:color w:val="000000"/>
                <w:sz w:val="22"/>
                <w:szCs w:val="22"/>
              </w:rPr>
              <w:t>влади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spacing w:after="160"/>
              <w:ind w:left="-98" w:right="-103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Міністерство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охорони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здоров’я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A6173C" w:rsidRDefault="00043B0F" w:rsidP="00043B0F">
            <w:pPr>
              <w:spacing w:before="100" w:beforeAutospacing="1" w:after="100" w:afterAutospacing="1"/>
              <w:ind w:right="-113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ind w:left="-111" w:right="-106"/>
            </w:pPr>
            <w:proofErr w:type="spellStart"/>
            <w:r>
              <w:rPr>
                <w:color w:val="000000"/>
                <w:sz w:val="22"/>
                <w:szCs w:val="22"/>
              </w:rPr>
              <w:t>Біологія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біотехнології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медицина та </w:t>
            </w:r>
            <w:proofErr w:type="spellStart"/>
            <w:r>
              <w:rPr>
                <w:color w:val="000000"/>
                <w:sz w:val="22"/>
                <w:szCs w:val="22"/>
              </w:rPr>
              <w:t>реабілітація</w:t>
            </w:r>
            <w:proofErr w:type="spellEnd"/>
          </w:p>
          <w:p w:rsidR="00043B0F" w:rsidRDefault="00043B0F" w:rsidP="00043B0F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217229" w:rsidRDefault="00043B0F" w:rsidP="00043B0F">
            <w:pPr>
              <w:pStyle w:val="a4"/>
            </w:pPr>
            <w:r w:rsidRPr="00217229">
              <w:rPr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розширення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донорського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пулу та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трансплантаційної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логістики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75"/>
            </w:pP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спрямоване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наукове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обґрунтування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комплексної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стратегії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підвищення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ефективності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трансплантації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військового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часу. Робота </w:t>
            </w:r>
            <w:proofErr w:type="spellStart"/>
            <w:r>
              <w:rPr>
                <w:color w:val="000000"/>
                <w:sz w:val="22"/>
                <w:szCs w:val="22"/>
              </w:rPr>
              <w:t>передбачає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аналіз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можливостей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розширення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донорського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пулу шляхом </w:t>
            </w:r>
            <w:proofErr w:type="spellStart"/>
            <w:r>
              <w:rPr>
                <w:color w:val="000000"/>
                <w:sz w:val="22"/>
                <w:szCs w:val="22"/>
              </w:rPr>
              <w:t>впровадження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сучасних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підходів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оцінки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донорських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розширеними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критеріями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придатності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color w:val="000000"/>
                <w:sz w:val="22"/>
                <w:szCs w:val="22"/>
              </w:rPr>
              <w:t>У межах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планується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медико-</w:t>
            </w:r>
            <w:proofErr w:type="spellStart"/>
            <w:r>
              <w:rPr>
                <w:color w:val="000000"/>
                <w:sz w:val="22"/>
                <w:szCs w:val="22"/>
              </w:rPr>
              <w:t>логістичних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принципів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трансплантаційного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оптимізація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клінічних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маршрутів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пари донор–</w:t>
            </w:r>
            <w:proofErr w:type="spellStart"/>
            <w:r>
              <w:rPr>
                <w:color w:val="000000"/>
                <w:sz w:val="22"/>
                <w:szCs w:val="22"/>
              </w:rPr>
              <w:t>реципієнт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 </w:t>
            </w:r>
            <w:proofErr w:type="spellStart"/>
            <w:r>
              <w:rPr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алгоритмів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взаємодії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медичними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закладами з </w:t>
            </w:r>
            <w:proofErr w:type="spellStart"/>
            <w:r>
              <w:rPr>
                <w:color w:val="000000"/>
                <w:sz w:val="22"/>
                <w:szCs w:val="22"/>
              </w:rPr>
              <w:t>урахуванням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обмежень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пов’язаних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воєнними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діями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Окремий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напрям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роботи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передбачає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вивчення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впровадження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спеціалізованих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безпілотних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літальних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апаратів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дронів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для оперативного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донорських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біоматеріалів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трансплантаційних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команд, </w:t>
            </w:r>
            <w:proofErr w:type="spellStart"/>
            <w:r>
              <w:rPr>
                <w:color w:val="000000"/>
                <w:sz w:val="22"/>
                <w:szCs w:val="22"/>
              </w:rPr>
              <w:t>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дозволить </w:t>
            </w:r>
            <w:proofErr w:type="spellStart"/>
            <w:r>
              <w:rPr>
                <w:color w:val="000000"/>
                <w:sz w:val="22"/>
                <w:szCs w:val="22"/>
              </w:rPr>
              <w:t>скоротити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час </w:t>
            </w:r>
            <w:proofErr w:type="spellStart"/>
            <w:r>
              <w:rPr>
                <w:color w:val="000000"/>
                <w:sz w:val="22"/>
                <w:szCs w:val="22"/>
              </w:rPr>
              <w:t>ішемії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підвищити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безпеку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логістики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забезпечити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доступність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трансплантаційної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умовах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обмеженої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інфраструктури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Очікуваним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результатом є </w:t>
            </w:r>
            <w:proofErr w:type="spellStart"/>
            <w:r>
              <w:rPr>
                <w:color w:val="000000"/>
                <w:sz w:val="22"/>
                <w:szCs w:val="22"/>
              </w:rPr>
              <w:t>підвищення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доступності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трансплантаційної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допомоги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скорочення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часу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донорських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покращення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клінічних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результатів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лікування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пацієнтів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термінальною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органною </w:t>
            </w:r>
            <w:proofErr w:type="spellStart"/>
            <w:r>
              <w:rPr>
                <w:color w:val="000000"/>
                <w:sz w:val="22"/>
                <w:szCs w:val="22"/>
              </w:rPr>
              <w:t>недостатністю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формування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адаптованої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моделі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трансплантаційної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умов </w:t>
            </w:r>
            <w:proofErr w:type="spellStart"/>
            <w:r>
              <w:rPr>
                <w:color w:val="000000"/>
                <w:sz w:val="22"/>
                <w:szCs w:val="22"/>
              </w:rPr>
              <w:t>надзвичайних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ситуацій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043B0F" w:rsidRDefault="00043B0F" w:rsidP="00043B0F"/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завершення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воєнного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стану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102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B0F" w:rsidRDefault="00043B0F" w:rsidP="00043B0F">
            <w:pPr>
              <w:pStyle w:val="a4"/>
              <w:spacing w:after="160"/>
              <w:ind w:left="-98" w:right="-103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Міністерство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економіки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довкілля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сільського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України</w:t>
            </w:r>
            <w:proofErr w:type="spellEnd"/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A6173C" w:rsidRDefault="00043B0F" w:rsidP="00043B0F">
            <w:pPr>
              <w:spacing w:before="100" w:beforeAutospacing="1" w:after="100" w:afterAutospacing="1"/>
              <w:ind w:right="-99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ind w:left="-111" w:right="-10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Науки про Землю та </w:t>
            </w:r>
            <w:proofErr w:type="spellStart"/>
            <w:r>
              <w:rPr>
                <w:color w:val="000000"/>
                <w:sz w:val="22"/>
                <w:szCs w:val="22"/>
              </w:rPr>
              <w:t>навколишнє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середовище</w:t>
            </w:r>
            <w:proofErr w:type="spellEnd"/>
          </w:p>
          <w:p w:rsidR="00043B0F" w:rsidRDefault="00043B0F" w:rsidP="00043B0F"/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</w:pPr>
            <w:proofErr w:type="spellStart"/>
            <w:r w:rsidRPr="00217229">
              <w:rPr>
                <w:color w:val="000000"/>
                <w:sz w:val="22"/>
                <w:szCs w:val="22"/>
              </w:rPr>
              <w:t>Генетична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верифікація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насіннєвого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матеріалу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моніторинг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ризиків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втрати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агробіорізноманітт</w:t>
            </w:r>
            <w:r>
              <w:rPr>
                <w:color w:val="000000"/>
                <w:sz w:val="22"/>
                <w:szCs w:val="22"/>
              </w:rPr>
              <w:t>я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firstLine="182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методичної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досліджень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застосуванням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SSR </w:t>
            </w:r>
            <w:proofErr w:type="spellStart"/>
            <w:r>
              <w:rPr>
                <w:color w:val="000000"/>
                <w:sz w:val="22"/>
                <w:szCs w:val="22"/>
              </w:rPr>
              <w:t>маркерів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правила </w:t>
            </w:r>
            <w:proofErr w:type="spellStart"/>
            <w:r>
              <w:rPr>
                <w:color w:val="000000"/>
                <w:sz w:val="22"/>
                <w:szCs w:val="22"/>
              </w:rPr>
              <w:t>прийняття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рішень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щодо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автентичності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сортової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чистоти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 </w:t>
            </w:r>
            <w:proofErr w:type="spellStart"/>
            <w:r>
              <w:rPr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алгоритмічні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процедури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введення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імпорту</w:t>
            </w:r>
            <w:proofErr w:type="spellEnd"/>
            <w:r>
              <w:rPr>
                <w:color w:val="000000"/>
                <w:sz w:val="22"/>
                <w:szCs w:val="22"/>
              </w:rPr>
              <w:t>) SSR-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обчислення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генетичних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дистанцій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встановлення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порогових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значень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відмінності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міжсортами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На </w:t>
            </w:r>
            <w:proofErr w:type="spellStart"/>
            <w:r>
              <w:rPr>
                <w:color w:val="000000"/>
                <w:sz w:val="22"/>
                <w:szCs w:val="22"/>
              </w:rPr>
              <w:t>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буде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розроблено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ризик-орієнтовану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модель для </w:t>
            </w:r>
            <w:proofErr w:type="spellStart"/>
            <w:r>
              <w:rPr>
                <w:color w:val="000000"/>
                <w:sz w:val="22"/>
                <w:szCs w:val="22"/>
              </w:rPr>
              <w:t>оцінювання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прогнозування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ризиків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сортової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чистоти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</w:t>
            </w:r>
            <w:proofErr w:type="spellEnd"/>
          </w:p>
          <w:p w:rsidR="00043B0F" w:rsidRDefault="00043B0F" w:rsidP="00043B0F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 xml:space="preserve">час </w:t>
            </w:r>
            <w:proofErr w:type="spellStart"/>
            <w:r>
              <w:rPr>
                <w:color w:val="000000"/>
                <w:sz w:val="22"/>
                <w:szCs w:val="22"/>
              </w:rPr>
              <w:t>багаторазового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розмноження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потенційних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загроз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втрати</w:t>
            </w:r>
            <w:proofErr w:type="spellEnd"/>
          </w:p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агробіорізноманіттю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генетичних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дистанцій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</w:t>
            </w:r>
          </w:p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неконфіденційних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індикаторів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контролю.</w:t>
            </w:r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  <w:tr w:rsidR="00043B0F" w:rsidTr="00043B0F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Pr="00A6173C" w:rsidRDefault="00043B0F" w:rsidP="00043B0F">
            <w:pPr>
              <w:spacing w:before="100" w:beforeAutospacing="1" w:after="100" w:afterAutospacing="1"/>
              <w:ind w:left="-110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B0F" w:rsidRDefault="00043B0F" w:rsidP="00043B0F">
            <w:pPr>
              <w:pStyle w:val="a4"/>
              <w:ind w:left="-111" w:right="-106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Промислові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/>
                <w:sz w:val="22"/>
                <w:szCs w:val="22"/>
              </w:rPr>
              <w:t>будівельні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логістика</w:t>
            </w:r>
            <w:proofErr w:type="spellEnd"/>
            <w:r>
              <w:rPr>
                <w:color w:val="000000"/>
                <w:sz w:val="22"/>
                <w:szCs w:val="22"/>
              </w:rPr>
              <w:t>, транспорт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 w:rsidRPr="00217229">
              <w:rPr>
                <w:color w:val="000000"/>
                <w:sz w:val="22"/>
                <w:szCs w:val="22"/>
              </w:rPr>
              <w:t>Технологічне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гуманітарного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розмінування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територій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оцінка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вартості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протимінних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7229">
              <w:rPr>
                <w:color w:val="000000"/>
                <w:sz w:val="22"/>
                <w:szCs w:val="22"/>
              </w:rPr>
              <w:t>робіт</w:t>
            </w:r>
            <w:proofErr w:type="spellEnd"/>
            <w:r w:rsidRPr="0021722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Розробка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сфері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гуманітарного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розмінування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є основною </w:t>
            </w:r>
            <w:proofErr w:type="spellStart"/>
            <w:r>
              <w:rPr>
                <w:color w:val="000000"/>
                <w:sz w:val="22"/>
                <w:szCs w:val="22"/>
              </w:rPr>
              <w:t>умовою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/>
                <w:sz w:val="22"/>
                <w:szCs w:val="22"/>
              </w:rPr>
              <w:t>забезпечення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розрахунку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вартості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протимінних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робіт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пошкоджених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вибухонебезпечними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предметами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Реалізація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проекту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класифікації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розроблення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нормативної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моделі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структури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оператора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протимінної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діяльності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визначення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норм </w:t>
            </w:r>
            <w:proofErr w:type="spellStart"/>
            <w:r>
              <w:rPr>
                <w:color w:val="000000"/>
                <w:sz w:val="22"/>
                <w:szCs w:val="22"/>
              </w:rPr>
              <w:t>виробітку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а </w:t>
            </w:r>
            <w:proofErr w:type="spellStart"/>
            <w:r>
              <w:rPr>
                <w:color w:val="000000"/>
                <w:sz w:val="22"/>
                <w:szCs w:val="22"/>
              </w:rPr>
              <w:t>також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структури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розрахунку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вартості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робіт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гуманітарного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розмінування</w:t>
            </w:r>
            <w:proofErr w:type="spellEnd"/>
            <w:r>
              <w:rPr>
                <w:color w:val="000000"/>
                <w:sz w:val="22"/>
                <w:szCs w:val="22"/>
              </w:rPr>
              <w:t>. </w:t>
            </w:r>
          </w:p>
          <w:p w:rsidR="00043B0F" w:rsidRDefault="00043B0F" w:rsidP="00043B0F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5. </w:t>
            </w:r>
            <w:proofErr w:type="spellStart"/>
            <w:r>
              <w:rPr>
                <w:color w:val="000000"/>
                <w:sz w:val="22"/>
                <w:szCs w:val="22"/>
              </w:rPr>
              <w:t>Формування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структури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розрахунку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вартості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робіт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/>
                <w:sz w:val="22"/>
                <w:szCs w:val="22"/>
              </w:rPr>
              <w:t>гуманітарного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розмінування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B0F" w:rsidRDefault="00043B0F" w:rsidP="00043B0F">
            <w:pPr>
              <w:pStyle w:val="a4"/>
              <w:ind w:left="-98" w:right="-103"/>
              <w:jc w:val="center"/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</w:tr>
    </w:tbl>
    <w:p w:rsidR="006600A0" w:rsidRDefault="006600A0"/>
    <w:sectPr w:rsidR="006600A0" w:rsidSect="00043B0F">
      <w:headerReference w:type="default" r:id="rId8"/>
      <w:headerReference w:type="firs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7F" w:rsidRDefault="00B7677F" w:rsidP="00043B0F">
      <w:r>
        <w:separator/>
      </w:r>
    </w:p>
  </w:endnote>
  <w:endnote w:type="continuationSeparator" w:id="0">
    <w:p w:rsidR="00B7677F" w:rsidRDefault="00B7677F" w:rsidP="0004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7F" w:rsidRDefault="00B7677F" w:rsidP="00043B0F">
      <w:r>
        <w:separator/>
      </w:r>
    </w:p>
  </w:footnote>
  <w:footnote w:type="continuationSeparator" w:id="0">
    <w:p w:rsidR="00B7677F" w:rsidRDefault="00B7677F" w:rsidP="0004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06794"/>
      <w:docPartObj>
        <w:docPartGallery w:val="Page Numbers (Top of Page)"/>
        <w:docPartUnique/>
      </w:docPartObj>
    </w:sdtPr>
    <w:sdtEndPr/>
    <w:sdtContent>
      <w:p w:rsidR="00043B0F" w:rsidRDefault="00043B0F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567C" w:rsidRPr="0086567C">
          <w:rPr>
            <w:noProof/>
            <w:lang w:val="uk-UA"/>
          </w:rPr>
          <w:t>3</w:t>
        </w:r>
        <w:r>
          <w:fldChar w:fldCharType="end"/>
        </w:r>
        <w:r>
          <w:rPr>
            <w:lang w:val="uk-UA"/>
          </w:rPr>
          <w:t xml:space="preserve">                                    Продовження додатка</w:t>
        </w:r>
      </w:p>
    </w:sdtContent>
  </w:sdt>
  <w:p w:rsidR="00043B0F" w:rsidRDefault="00043B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386652"/>
      <w:docPartObj>
        <w:docPartGallery w:val="Page Numbers (Top of Page)"/>
        <w:docPartUnique/>
      </w:docPartObj>
    </w:sdtPr>
    <w:sdtEndPr/>
    <w:sdtContent>
      <w:p w:rsidR="00043B0F" w:rsidRDefault="00B7677F">
        <w:pPr>
          <w:pStyle w:val="a5"/>
          <w:jc w:val="center"/>
        </w:pPr>
      </w:p>
    </w:sdtContent>
  </w:sdt>
  <w:p w:rsidR="00043B0F" w:rsidRDefault="00043B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1"/>
    <w:rsid w:val="00043B0F"/>
    <w:rsid w:val="00620D9B"/>
    <w:rsid w:val="006600A0"/>
    <w:rsid w:val="0086567C"/>
    <w:rsid w:val="00A64BA4"/>
    <w:rsid w:val="00B7677F"/>
    <w:rsid w:val="00D90F11"/>
    <w:rsid w:val="00F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53E01"/>
  <w15:chartTrackingRefBased/>
  <w15:docId w15:val="{D9848FB9-B6F6-4181-A16C-F1CC4FA1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0F11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D90F11"/>
  </w:style>
  <w:style w:type="paragraph" w:styleId="a5">
    <w:name w:val="header"/>
    <w:basedOn w:val="a"/>
    <w:link w:val="a6"/>
    <w:uiPriority w:val="99"/>
    <w:unhideWhenUsed/>
    <w:rsid w:val="00043B0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43B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B0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43B0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1%96%D0%BD%D1%96%D1%81%D1%82%D0%B5%D1%80%D1%81%D1%82%D0%B2%D0%BE_%D0%B2%D0%BD%D1%83%D1%82%D1%80%D1%96%D1%88%D0%BD%D1%96%D1%85_%D1%81%D0%BF%D1%80%D0%B0%D0%B2_%D0%A3%D0%BA%D1%80%D0%B0%D1%97%D0%BD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5904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Glushkovska J.O.</cp:lastModifiedBy>
  <cp:revision>4</cp:revision>
  <dcterms:created xsi:type="dcterms:W3CDTF">2026-06-10T09:39:00Z</dcterms:created>
  <dcterms:modified xsi:type="dcterms:W3CDTF">2026-06-15T09:21:00Z</dcterms:modified>
</cp:coreProperties>
</file>