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E307A" w14:textId="174F7D20" w:rsidR="00475F0B" w:rsidRDefault="003D1302" w:rsidP="00475F0B">
      <w:pPr>
        <w:spacing w:after="0"/>
        <w:jc w:val="center"/>
        <w:rPr>
          <w:b/>
          <w:bCs/>
          <w:sz w:val="28"/>
          <w:lang w:val="uk-UA"/>
        </w:rPr>
      </w:pPr>
      <w:r w:rsidRPr="00DD313D">
        <w:rPr>
          <w:rFonts w:cstheme="minorHAnsi"/>
          <w:b/>
          <w:bCs/>
          <w:noProof/>
          <w:sz w:val="28"/>
        </w:rPr>
        <w:drawing>
          <wp:anchor distT="0" distB="0" distL="114300" distR="114300" simplePos="0" relativeHeight="251659264" behindDoc="0" locked="0" layoutInCell="1" allowOverlap="1" wp14:anchorId="5F800014" wp14:editId="5D6B9A9E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62875" cy="82095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82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F0B" w:rsidRPr="00475F0B">
        <w:rPr>
          <w:b/>
          <w:bCs/>
          <w:sz w:val="28"/>
          <w:lang w:val="uk-UA"/>
        </w:rPr>
        <w:t>Структурні елементи</w:t>
      </w:r>
      <w:r w:rsidR="00475F0B">
        <w:rPr>
          <w:b/>
          <w:bCs/>
          <w:sz w:val="28"/>
          <w:lang w:val="uk-UA"/>
        </w:rPr>
        <w:t xml:space="preserve"> статей</w:t>
      </w:r>
    </w:p>
    <w:p w14:paraId="3CE8B4E6" w14:textId="77777777" w:rsidR="00475F0B" w:rsidRPr="00475F0B" w:rsidRDefault="00475F0B" w:rsidP="00475F0B">
      <w:pPr>
        <w:spacing w:after="0"/>
        <w:jc w:val="center"/>
        <w:rPr>
          <w:b/>
          <w:bCs/>
          <w:sz w:val="28"/>
          <w:lang w:val="uk-UA"/>
        </w:rPr>
      </w:pPr>
    </w:p>
    <w:p w14:paraId="27C67CCE" w14:textId="77777777" w:rsidR="00475F0B" w:rsidRPr="00475F0B" w:rsidRDefault="00475F0B" w:rsidP="00475F0B">
      <w:pPr>
        <w:spacing w:after="0"/>
        <w:rPr>
          <w:b/>
          <w:bCs/>
          <w:sz w:val="24"/>
          <w:lang w:val="uk-UA"/>
        </w:rPr>
      </w:pPr>
      <w:r w:rsidRPr="00475F0B">
        <w:rPr>
          <w:b/>
          <w:bCs/>
          <w:sz w:val="24"/>
          <w:lang w:val="uk-UA"/>
        </w:rPr>
        <w:t>Обов’язкові елементи</w:t>
      </w:r>
    </w:p>
    <w:p w14:paraId="0565680F" w14:textId="77777777" w:rsidR="00475F0B" w:rsidRDefault="00475F0B" w:rsidP="00475F0B">
      <w:pPr>
        <w:spacing w:after="0"/>
        <w:jc w:val="both"/>
        <w:rPr>
          <w:b/>
          <w:bCs/>
          <w:lang w:val="uk-UA"/>
        </w:rPr>
      </w:pPr>
      <w:r w:rsidRPr="00475F0B">
        <w:rPr>
          <w:lang w:val="uk-UA"/>
        </w:rPr>
        <w:t xml:space="preserve">Для всіх типів статей обов’язковими є такі блоки: </w:t>
      </w:r>
      <w:r w:rsidRPr="00475F0B">
        <w:rPr>
          <w:b/>
          <w:bCs/>
          <w:lang w:val="uk-UA"/>
        </w:rPr>
        <w:t>назва</w:t>
      </w:r>
      <w:r w:rsidRPr="00475F0B">
        <w:rPr>
          <w:lang w:val="uk-UA"/>
        </w:rPr>
        <w:t xml:space="preserve">, </w:t>
      </w:r>
      <w:r w:rsidRPr="00475F0B">
        <w:rPr>
          <w:b/>
          <w:bCs/>
          <w:lang w:val="uk-UA"/>
        </w:rPr>
        <w:t>дані про авторів</w:t>
      </w:r>
      <w:r w:rsidRPr="00475F0B">
        <w:rPr>
          <w:lang w:val="uk-UA"/>
        </w:rPr>
        <w:t xml:space="preserve">, </w:t>
      </w:r>
      <w:r w:rsidRPr="00475F0B">
        <w:rPr>
          <w:b/>
          <w:bCs/>
          <w:lang w:val="uk-UA"/>
        </w:rPr>
        <w:t>анотація</w:t>
      </w:r>
      <w:r w:rsidRPr="00475F0B">
        <w:rPr>
          <w:lang w:val="uk-UA"/>
        </w:rPr>
        <w:t xml:space="preserve">, </w:t>
      </w:r>
      <w:r w:rsidRPr="00475F0B">
        <w:rPr>
          <w:b/>
          <w:bCs/>
          <w:lang w:val="uk-UA"/>
        </w:rPr>
        <w:t>ключові слова</w:t>
      </w:r>
      <w:r w:rsidRPr="00475F0B">
        <w:rPr>
          <w:lang w:val="uk-UA"/>
        </w:rPr>
        <w:t xml:space="preserve">, </w:t>
      </w:r>
      <w:r w:rsidRPr="00475F0B">
        <w:rPr>
          <w:b/>
          <w:bCs/>
          <w:lang w:val="uk-UA"/>
        </w:rPr>
        <w:t>вступ</w:t>
      </w:r>
      <w:r w:rsidRPr="00475F0B">
        <w:rPr>
          <w:lang w:val="uk-UA"/>
        </w:rPr>
        <w:t xml:space="preserve">, </w:t>
      </w:r>
      <w:r w:rsidRPr="00475F0B">
        <w:rPr>
          <w:b/>
          <w:bCs/>
          <w:lang w:val="uk-UA"/>
        </w:rPr>
        <w:t>висновки</w:t>
      </w:r>
      <w:r w:rsidRPr="00475F0B">
        <w:rPr>
          <w:lang w:val="uk-UA"/>
        </w:rPr>
        <w:t xml:space="preserve">, </w:t>
      </w:r>
      <w:r w:rsidRPr="00475F0B">
        <w:rPr>
          <w:b/>
          <w:bCs/>
          <w:lang w:val="uk-UA"/>
        </w:rPr>
        <w:t>подяки/фінансування/конфлікт інтересів</w:t>
      </w:r>
      <w:r w:rsidRPr="00475F0B">
        <w:rPr>
          <w:lang w:val="uk-UA"/>
        </w:rPr>
        <w:t xml:space="preserve"> та </w:t>
      </w:r>
      <w:r w:rsidRPr="00475F0B">
        <w:rPr>
          <w:b/>
          <w:bCs/>
          <w:lang w:val="uk-UA"/>
        </w:rPr>
        <w:t>список літератури</w:t>
      </w:r>
      <w:r>
        <w:rPr>
          <w:b/>
          <w:bCs/>
          <w:lang w:val="uk-UA"/>
        </w:rPr>
        <w:t>.</w:t>
      </w:r>
    </w:p>
    <w:p w14:paraId="6366598A" w14:textId="77777777" w:rsidR="00475F0B" w:rsidRDefault="00475F0B" w:rsidP="00475F0B">
      <w:pPr>
        <w:spacing w:after="0"/>
        <w:jc w:val="both"/>
        <w:rPr>
          <w:lang w:val="uk-UA"/>
        </w:rPr>
      </w:pPr>
      <w:r w:rsidRPr="00475F0B">
        <w:rPr>
          <w:lang w:val="uk-UA"/>
        </w:rPr>
        <w:t xml:space="preserve">У емпіричних і теоретичних статтях обов’язково додається розділ </w:t>
      </w:r>
      <w:r w:rsidRPr="00475F0B">
        <w:rPr>
          <w:b/>
          <w:bCs/>
          <w:lang w:val="uk-UA"/>
        </w:rPr>
        <w:t>«Матеріали та методи»</w:t>
      </w:r>
      <w:r w:rsidRPr="00475F0B">
        <w:rPr>
          <w:lang w:val="uk-UA"/>
        </w:rPr>
        <w:t>; в оглядових цей блок замінюється коротким описом методології у вступі.</w:t>
      </w:r>
    </w:p>
    <w:p w14:paraId="04AEC56E" w14:textId="6885E2AA" w:rsidR="00475F0B" w:rsidRPr="00475F0B" w:rsidRDefault="00475F0B" w:rsidP="00475F0B">
      <w:pPr>
        <w:spacing w:after="0"/>
        <w:jc w:val="both"/>
        <w:rPr>
          <w:b/>
          <w:bCs/>
          <w:lang w:val="uk-UA"/>
        </w:rPr>
      </w:pPr>
      <w:r w:rsidRPr="00475F0B">
        <w:rPr>
          <w:lang w:val="uk-UA"/>
        </w:rPr>
        <w:t xml:space="preserve">У розділі </w:t>
      </w:r>
      <w:r w:rsidRPr="00475F0B">
        <w:rPr>
          <w:b/>
          <w:bCs/>
          <w:lang w:val="uk-UA"/>
        </w:rPr>
        <w:t>«Результати та обговорення»</w:t>
      </w:r>
      <w:r w:rsidRPr="00475F0B">
        <w:rPr>
          <w:lang w:val="uk-UA"/>
        </w:rPr>
        <w:t xml:space="preserve"> емпіричних і теоретичних статей подаються всі висновки та їх інтерпретація; в оглядових статтях матеріал структурується за тематичними підрозділами</w:t>
      </w:r>
    </w:p>
    <w:p w14:paraId="32C15112" w14:textId="77777777" w:rsidR="00475F0B" w:rsidRDefault="00475F0B" w:rsidP="00475F0B">
      <w:pPr>
        <w:spacing w:after="0"/>
        <w:rPr>
          <w:b/>
          <w:bCs/>
          <w:lang w:val="uk-UA"/>
        </w:rPr>
      </w:pPr>
    </w:p>
    <w:p w14:paraId="3FD8B13A" w14:textId="7355844C" w:rsidR="00475F0B" w:rsidRPr="00475F0B" w:rsidRDefault="00475F0B" w:rsidP="00475F0B">
      <w:pPr>
        <w:spacing w:after="0"/>
        <w:rPr>
          <w:b/>
          <w:bCs/>
          <w:sz w:val="24"/>
          <w:lang w:val="uk-UA"/>
        </w:rPr>
      </w:pPr>
      <w:r w:rsidRPr="00475F0B">
        <w:rPr>
          <w:b/>
          <w:bCs/>
          <w:sz w:val="24"/>
          <w:lang w:val="uk-UA"/>
        </w:rPr>
        <w:t>Назва та автори</w:t>
      </w:r>
    </w:p>
    <w:p w14:paraId="3EB790E5" w14:textId="77777777" w:rsidR="00475F0B" w:rsidRDefault="00475F0B" w:rsidP="00475F0B">
      <w:pPr>
        <w:spacing w:after="0"/>
        <w:jc w:val="both"/>
        <w:rPr>
          <w:lang w:val="uk-UA"/>
        </w:rPr>
      </w:pPr>
      <w:r w:rsidRPr="00475F0B">
        <w:rPr>
          <w:lang w:val="uk-UA"/>
        </w:rPr>
        <w:t>Назва не повинна перевищувати 12 слів, подається українською та англійською, великими літерами, напівжирним шрифтом та вирівнюється по центру.</w:t>
      </w:r>
    </w:p>
    <w:p w14:paraId="7713D49C" w14:textId="04C618F1" w:rsidR="00475F0B" w:rsidRPr="00475F0B" w:rsidRDefault="00475F0B" w:rsidP="00475F0B">
      <w:pPr>
        <w:spacing w:after="0"/>
        <w:jc w:val="both"/>
        <w:rPr>
          <w:lang w:val="uk-UA"/>
        </w:rPr>
      </w:pPr>
      <w:r w:rsidRPr="00475F0B">
        <w:rPr>
          <w:lang w:val="uk-UA"/>
        </w:rPr>
        <w:t>Дані про авторів (українською та англійською) включають повне ім’я, науковий ступінь і посаду, підрозділ і повну назву установи, адресу та ORCID.</w:t>
      </w:r>
    </w:p>
    <w:p w14:paraId="400EE3AA" w14:textId="77777777" w:rsidR="00475F0B" w:rsidRDefault="00475F0B" w:rsidP="00475F0B">
      <w:pPr>
        <w:spacing w:after="0"/>
        <w:rPr>
          <w:b/>
          <w:bCs/>
          <w:lang w:val="uk-UA"/>
        </w:rPr>
      </w:pPr>
    </w:p>
    <w:p w14:paraId="4ED05D02" w14:textId="6A3CF84F" w:rsidR="00475F0B" w:rsidRPr="00475F0B" w:rsidRDefault="00475F0B" w:rsidP="00475F0B">
      <w:pPr>
        <w:spacing w:after="0"/>
        <w:rPr>
          <w:b/>
          <w:bCs/>
          <w:sz w:val="24"/>
          <w:lang w:val="uk-UA"/>
        </w:rPr>
      </w:pPr>
      <w:r w:rsidRPr="00475F0B">
        <w:rPr>
          <w:b/>
          <w:bCs/>
          <w:sz w:val="24"/>
          <w:lang w:val="uk-UA"/>
        </w:rPr>
        <w:t>Анотація та ключові слова</w:t>
      </w:r>
    </w:p>
    <w:p w14:paraId="2A8CE4C7" w14:textId="519A65A9" w:rsidR="00475F0B" w:rsidRPr="00475F0B" w:rsidRDefault="00475F0B" w:rsidP="00475F0B">
      <w:pPr>
        <w:spacing w:after="0"/>
        <w:jc w:val="both"/>
        <w:rPr>
          <w:lang w:val="uk-UA"/>
        </w:rPr>
      </w:pPr>
      <w:r w:rsidRPr="00475F0B">
        <w:rPr>
          <w:lang w:val="uk-UA"/>
        </w:rPr>
        <w:t>Анотацію пишуть двома мовами (англ</w:t>
      </w:r>
      <w:r>
        <w:rPr>
          <w:lang w:val="uk-UA"/>
        </w:rPr>
        <w:t>ійською та українською), на 200-</w:t>
      </w:r>
      <w:r w:rsidRPr="00475F0B">
        <w:rPr>
          <w:lang w:val="uk-UA"/>
        </w:rPr>
        <w:t>300 слів, інформативно та структуровано: актуальність, мета, методи, основні результати, практичне значення; без абревіатур чи посилань. Ключові слова (5–7) не повинні повторювати назву статті.</w:t>
      </w:r>
    </w:p>
    <w:p w14:paraId="359F1A99" w14:textId="77777777" w:rsidR="00475F0B" w:rsidRDefault="00475F0B" w:rsidP="00475F0B">
      <w:pPr>
        <w:spacing w:after="0"/>
        <w:rPr>
          <w:b/>
          <w:bCs/>
          <w:lang w:val="uk-UA"/>
        </w:rPr>
      </w:pPr>
    </w:p>
    <w:p w14:paraId="7A3171F8" w14:textId="0E3580E9" w:rsidR="00475F0B" w:rsidRPr="00E12454" w:rsidRDefault="00475F0B" w:rsidP="00475F0B">
      <w:pPr>
        <w:spacing w:after="0"/>
        <w:rPr>
          <w:b/>
          <w:bCs/>
          <w:sz w:val="24"/>
          <w:lang w:val="uk-UA"/>
        </w:rPr>
      </w:pPr>
      <w:r w:rsidRPr="00E12454">
        <w:rPr>
          <w:b/>
          <w:bCs/>
          <w:sz w:val="24"/>
          <w:lang w:val="uk-UA"/>
        </w:rPr>
        <w:t>Основні розділи</w:t>
      </w:r>
    </w:p>
    <w:p w14:paraId="55EE2277" w14:textId="2B3AEA26" w:rsidR="00475F0B" w:rsidRPr="00475F0B" w:rsidRDefault="00475F0B" w:rsidP="00E12454">
      <w:pPr>
        <w:numPr>
          <w:ilvl w:val="0"/>
          <w:numId w:val="1"/>
        </w:numPr>
        <w:spacing w:after="0"/>
        <w:jc w:val="both"/>
        <w:rPr>
          <w:lang w:val="uk-UA"/>
        </w:rPr>
      </w:pPr>
      <w:r w:rsidRPr="00475F0B">
        <w:rPr>
          <w:b/>
          <w:bCs/>
          <w:lang w:val="uk-UA"/>
        </w:rPr>
        <w:t>Вступ</w:t>
      </w:r>
      <w:r w:rsidRPr="00475F0B">
        <w:rPr>
          <w:lang w:val="uk-UA"/>
        </w:rPr>
        <w:t>: описує актуальність та сучасний стан проблеми, аналізує 7–10 досліджень за останні 3–5 років, формулює мету, завдання та новизну роботи.</w:t>
      </w:r>
    </w:p>
    <w:p w14:paraId="2BAD144F" w14:textId="61F85D07" w:rsidR="00475F0B" w:rsidRPr="00475F0B" w:rsidRDefault="00475F0B" w:rsidP="00E12454">
      <w:pPr>
        <w:numPr>
          <w:ilvl w:val="0"/>
          <w:numId w:val="1"/>
        </w:numPr>
        <w:spacing w:after="0"/>
        <w:jc w:val="both"/>
        <w:rPr>
          <w:lang w:val="uk-UA"/>
        </w:rPr>
      </w:pPr>
      <w:r w:rsidRPr="00475F0B">
        <w:rPr>
          <w:b/>
          <w:bCs/>
          <w:lang w:val="uk-UA"/>
        </w:rPr>
        <w:t>Матеріали та методи</w:t>
      </w:r>
      <w:r w:rsidRPr="00475F0B">
        <w:rPr>
          <w:lang w:val="uk-UA"/>
        </w:rPr>
        <w:t>: обґрунтовує вибір методів і описує етапи дослідження для можливості його повторення; обов’язковий для емпіричних та теоретичних статей.</w:t>
      </w:r>
    </w:p>
    <w:p w14:paraId="29F0F5D0" w14:textId="1015C617" w:rsidR="00475F0B" w:rsidRPr="00475F0B" w:rsidRDefault="00475F0B" w:rsidP="00E12454">
      <w:pPr>
        <w:numPr>
          <w:ilvl w:val="0"/>
          <w:numId w:val="1"/>
        </w:numPr>
        <w:spacing w:after="0"/>
        <w:jc w:val="both"/>
        <w:rPr>
          <w:lang w:val="uk-UA"/>
        </w:rPr>
      </w:pPr>
      <w:r w:rsidRPr="00475F0B">
        <w:rPr>
          <w:b/>
          <w:bCs/>
          <w:lang w:val="uk-UA"/>
        </w:rPr>
        <w:t>Результати та обговорення</w:t>
      </w:r>
      <w:r w:rsidRPr="00475F0B">
        <w:rPr>
          <w:lang w:val="uk-UA"/>
        </w:rPr>
        <w:t>: представляє основні дані й аналіз; таблиці й рисунки супроводжуються статистичним аналізом та примітками; уникають повторів та зайвого опису; у розділі «Обговорення» результати зіставляють з іншими дослідженнями.</w:t>
      </w:r>
    </w:p>
    <w:p w14:paraId="1C13019C" w14:textId="3FEA379E" w:rsidR="00475F0B" w:rsidRPr="00475F0B" w:rsidRDefault="00475F0B" w:rsidP="00E12454">
      <w:pPr>
        <w:numPr>
          <w:ilvl w:val="0"/>
          <w:numId w:val="1"/>
        </w:numPr>
        <w:spacing w:after="0"/>
        <w:jc w:val="both"/>
        <w:rPr>
          <w:lang w:val="uk-UA"/>
        </w:rPr>
      </w:pPr>
      <w:r w:rsidRPr="00475F0B">
        <w:rPr>
          <w:b/>
          <w:bCs/>
          <w:lang w:val="uk-UA"/>
        </w:rPr>
        <w:t>Висновки</w:t>
      </w:r>
      <w:r w:rsidRPr="00475F0B">
        <w:rPr>
          <w:lang w:val="uk-UA"/>
        </w:rPr>
        <w:t>: стисло та конкретно підсумовують результати, відповідають меті та назві роботи, зазначають напрямки подальших досліджень.</w:t>
      </w:r>
    </w:p>
    <w:p w14:paraId="2031775E" w14:textId="17647A26" w:rsidR="00475F0B" w:rsidRPr="00475F0B" w:rsidRDefault="00475F0B" w:rsidP="00E12454">
      <w:pPr>
        <w:numPr>
          <w:ilvl w:val="0"/>
          <w:numId w:val="1"/>
        </w:numPr>
        <w:spacing w:after="0"/>
        <w:jc w:val="both"/>
        <w:rPr>
          <w:lang w:val="uk-UA"/>
        </w:rPr>
      </w:pPr>
      <w:r w:rsidRPr="00475F0B">
        <w:rPr>
          <w:b/>
          <w:bCs/>
          <w:lang w:val="uk-UA"/>
        </w:rPr>
        <w:t>Подяки</w:t>
      </w:r>
      <w:r w:rsidRPr="00475F0B">
        <w:rPr>
          <w:lang w:val="uk-UA"/>
        </w:rPr>
        <w:t xml:space="preserve">, </w:t>
      </w:r>
      <w:r w:rsidRPr="00475F0B">
        <w:rPr>
          <w:b/>
          <w:bCs/>
          <w:lang w:val="uk-UA"/>
        </w:rPr>
        <w:t>Фінансування</w:t>
      </w:r>
      <w:r w:rsidRPr="00475F0B">
        <w:rPr>
          <w:lang w:val="uk-UA"/>
        </w:rPr>
        <w:t xml:space="preserve">, </w:t>
      </w:r>
      <w:r w:rsidRPr="00475F0B">
        <w:rPr>
          <w:b/>
          <w:bCs/>
          <w:lang w:val="uk-UA"/>
        </w:rPr>
        <w:t>Конфлікт інтересів</w:t>
      </w:r>
      <w:r w:rsidRPr="00475F0B">
        <w:rPr>
          <w:lang w:val="uk-UA"/>
        </w:rPr>
        <w:t>: зазначають осіб або установи, які допомогли або фінансували дослідження; за відсутності зазначають «Немає»; обов’язково розкривають будь</w:t>
      </w:r>
      <w:r w:rsidRPr="00475F0B">
        <w:rPr>
          <w:lang w:val="uk-UA"/>
        </w:rPr>
        <w:noBreakHyphen/>
        <w:t>які потенційні конфлікти.</w:t>
      </w:r>
    </w:p>
    <w:p w14:paraId="42CBEFB1" w14:textId="77777777" w:rsidR="00E12454" w:rsidRDefault="00E12454" w:rsidP="00475F0B">
      <w:pPr>
        <w:spacing w:after="0"/>
        <w:rPr>
          <w:b/>
          <w:bCs/>
          <w:lang w:val="uk-UA"/>
        </w:rPr>
      </w:pPr>
    </w:p>
    <w:p w14:paraId="24BD25BF" w14:textId="2E5D0D17" w:rsidR="00475F0B" w:rsidRPr="00E12454" w:rsidRDefault="00475F0B" w:rsidP="00475F0B">
      <w:pPr>
        <w:spacing w:after="0"/>
        <w:rPr>
          <w:b/>
          <w:bCs/>
          <w:sz w:val="24"/>
          <w:lang w:val="uk-UA"/>
        </w:rPr>
      </w:pPr>
      <w:r w:rsidRPr="00E12454">
        <w:rPr>
          <w:b/>
          <w:bCs/>
          <w:sz w:val="24"/>
          <w:lang w:val="uk-UA"/>
        </w:rPr>
        <w:t>Оформлення та форматування</w:t>
      </w:r>
    </w:p>
    <w:p w14:paraId="075DC6A3" w14:textId="77777777" w:rsidR="00475F0B" w:rsidRPr="00475F0B" w:rsidRDefault="00475F0B" w:rsidP="00E12454">
      <w:pPr>
        <w:numPr>
          <w:ilvl w:val="0"/>
          <w:numId w:val="2"/>
        </w:numPr>
        <w:spacing w:after="0"/>
        <w:jc w:val="both"/>
        <w:rPr>
          <w:lang w:val="uk-UA"/>
        </w:rPr>
      </w:pPr>
      <w:r w:rsidRPr="00475F0B">
        <w:rPr>
          <w:b/>
          <w:bCs/>
          <w:lang w:val="uk-UA"/>
        </w:rPr>
        <w:t>Мова</w:t>
      </w:r>
      <w:r w:rsidRPr="00475F0B">
        <w:rPr>
          <w:lang w:val="uk-UA"/>
        </w:rPr>
        <w:t>: статті подаються англійською; українська використовується для назви та анотації.</w:t>
      </w:r>
    </w:p>
    <w:p w14:paraId="339A222C" w14:textId="24B725F4" w:rsidR="00475F0B" w:rsidRPr="00475F0B" w:rsidRDefault="00475F0B" w:rsidP="00E12454">
      <w:pPr>
        <w:numPr>
          <w:ilvl w:val="0"/>
          <w:numId w:val="2"/>
        </w:numPr>
        <w:spacing w:after="0"/>
        <w:jc w:val="both"/>
        <w:rPr>
          <w:lang w:val="uk-UA"/>
        </w:rPr>
      </w:pPr>
      <w:r w:rsidRPr="00475F0B">
        <w:rPr>
          <w:b/>
          <w:bCs/>
          <w:lang w:val="uk-UA"/>
        </w:rPr>
        <w:t>Формат</w:t>
      </w:r>
      <w:r w:rsidRPr="00475F0B">
        <w:rPr>
          <w:lang w:val="uk-UA"/>
        </w:rPr>
        <w:t xml:space="preserve">: файл MS Word (DOC/DOCX); сторінка А4 з полями по 2 см; шрифт </w:t>
      </w:r>
      <w:r w:rsidRPr="00475F0B">
        <w:rPr>
          <w:i/>
          <w:iCs/>
          <w:lang w:val="uk-UA"/>
        </w:rPr>
        <w:t>Times New Roman</w:t>
      </w:r>
      <w:r w:rsidRPr="00475F0B">
        <w:rPr>
          <w:lang w:val="uk-UA"/>
        </w:rPr>
        <w:t>, 12 pt, міжрядковий інтервал 1,0; вирівнювання по ширині; мінімум 4 000 слів, не враховуючи анотації та список джерел.</w:t>
      </w:r>
    </w:p>
    <w:p w14:paraId="3B1DCC59" w14:textId="2137D483" w:rsidR="00475F0B" w:rsidRPr="00475F0B" w:rsidRDefault="00475F0B" w:rsidP="00E12454">
      <w:pPr>
        <w:numPr>
          <w:ilvl w:val="0"/>
          <w:numId w:val="2"/>
        </w:numPr>
        <w:spacing w:after="0"/>
        <w:jc w:val="both"/>
        <w:rPr>
          <w:lang w:val="uk-UA"/>
        </w:rPr>
      </w:pPr>
      <w:r w:rsidRPr="00475F0B">
        <w:rPr>
          <w:b/>
          <w:bCs/>
          <w:lang w:val="uk-UA"/>
        </w:rPr>
        <w:t>Таблиці, рисунки, графіки</w:t>
      </w:r>
      <w:r w:rsidRPr="00475F0B">
        <w:rPr>
          <w:lang w:val="uk-UA"/>
        </w:rPr>
        <w:t>: нумерують у порядку появи; розміщують після першого посилання на них; підпис розташовують під зображенням, а джерело та примітки — нижче; зображення мають бути якісними, табличні дані набирають шрифтом 10 pt.</w:t>
      </w:r>
    </w:p>
    <w:p w14:paraId="01354E6C" w14:textId="75E07B61" w:rsidR="00475F0B" w:rsidRPr="00475F0B" w:rsidRDefault="00475F0B" w:rsidP="00E12454">
      <w:pPr>
        <w:numPr>
          <w:ilvl w:val="0"/>
          <w:numId w:val="2"/>
        </w:numPr>
        <w:spacing w:after="0"/>
        <w:jc w:val="both"/>
        <w:rPr>
          <w:lang w:val="uk-UA"/>
        </w:rPr>
      </w:pPr>
      <w:r w:rsidRPr="00475F0B">
        <w:rPr>
          <w:b/>
          <w:bCs/>
          <w:lang w:val="uk-UA"/>
        </w:rPr>
        <w:t>Формули</w:t>
      </w:r>
      <w:r w:rsidRPr="00475F0B">
        <w:rPr>
          <w:lang w:val="uk-UA"/>
        </w:rPr>
        <w:t>: створюються у Equation Editor; змінні курсивом; формули центровані та пронумеровані праворуч.</w:t>
      </w:r>
    </w:p>
    <w:p w14:paraId="3EB42B94" w14:textId="77777777" w:rsidR="00E12454" w:rsidRDefault="00E12454" w:rsidP="00475F0B">
      <w:pPr>
        <w:spacing w:after="0"/>
        <w:rPr>
          <w:b/>
          <w:bCs/>
          <w:lang w:val="uk-UA"/>
        </w:rPr>
      </w:pPr>
    </w:p>
    <w:p w14:paraId="750E41C6" w14:textId="04AEBDCE" w:rsidR="00475F0B" w:rsidRPr="00E12454" w:rsidRDefault="00475F0B" w:rsidP="00475F0B">
      <w:pPr>
        <w:spacing w:after="0"/>
        <w:rPr>
          <w:b/>
          <w:bCs/>
          <w:sz w:val="24"/>
          <w:lang w:val="uk-UA"/>
        </w:rPr>
      </w:pPr>
      <w:r w:rsidRPr="00E12454">
        <w:rPr>
          <w:b/>
          <w:bCs/>
          <w:sz w:val="24"/>
          <w:lang w:val="uk-UA"/>
        </w:rPr>
        <w:t>Посилання та список літератури</w:t>
      </w:r>
    </w:p>
    <w:p w14:paraId="3EFE4024" w14:textId="08C94145" w:rsidR="00475F0B" w:rsidRPr="00475F0B" w:rsidRDefault="00475F0B" w:rsidP="00E12454">
      <w:pPr>
        <w:spacing w:after="0"/>
        <w:jc w:val="both"/>
        <w:rPr>
          <w:lang w:val="uk-UA"/>
        </w:rPr>
      </w:pPr>
      <w:r w:rsidRPr="00475F0B">
        <w:rPr>
          <w:lang w:val="uk-UA"/>
        </w:rPr>
        <w:lastRenderedPageBreak/>
        <w:t>Посилання в тексті подають у круглих дужках із прізвищем автора та роком: (Vallo, 2024); у списку літератури джерела розміщують за алфавітом і оформлюють за стилем APA 6th; транслітерація неприпустима.</w:t>
      </w:r>
      <w:r w:rsidRPr="00475F0B">
        <w:rPr>
          <w:lang w:val="uk-UA"/>
        </w:rPr>
        <w:br/>
        <w:t>Рекомендується щонайменше 20 джерел для емпіричних і теоретичних статей та 40 – для оглядових; щонайменше половина повинна бути опублікована за останні три роки, і приблизно 30 % мають індексуватися у Scopus або Web of Science.</w:t>
      </w:r>
    </w:p>
    <w:p w14:paraId="5927CAF0" w14:textId="2BD9A9B7" w:rsidR="004370E2" w:rsidRDefault="004370E2" w:rsidP="00475F0B">
      <w:pPr>
        <w:spacing w:after="0"/>
        <w:rPr>
          <w:lang w:val="uk-UA"/>
        </w:rPr>
      </w:pPr>
    </w:p>
    <w:p w14:paraId="5850AD6B" w14:textId="4CFE9E8A" w:rsidR="00E12454" w:rsidRDefault="00E12454" w:rsidP="00475F0B">
      <w:pPr>
        <w:spacing w:after="0"/>
        <w:rPr>
          <w:b/>
          <w:lang w:val="uk-UA"/>
        </w:rPr>
      </w:pPr>
      <w:r w:rsidRPr="00E12454">
        <w:rPr>
          <w:b/>
          <w:lang w:val="uk-UA"/>
        </w:rPr>
        <w:t>Приклад оформлення списку літератури</w:t>
      </w:r>
    </w:p>
    <w:p w14:paraId="70BBEE4B" w14:textId="5C7B1FC6" w:rsidR="00E12454" w:rsidRDefault="00E12454" w:rsidP="00475F0B">
      <w:pPr>
        <w:spacing w:after="0"/>
        <w:rPr>
          <w:b/>
          <w:lang w:val="uk-UA"/>
        </w:rPr>
      </w:pPr>
    </w:p>
    <w:p w14:paraId="7A7EC7DE" w14:textId="087CB2AD" w:rsidR="00E12454" w:rsidRDefault="00E12454" w:rsidP="00475F0B">
      <w:pPr>
        <w:spacing w:after="0"/>
        <w:rPr>
          <w:b/>
          <w:lang w:val="uk-UA"/>
        </w:rPr>
      </w:pPr>
      <w:r>
        <w:rPr>
          <w:b/>
          <w:lang w:val="uk-UA"/>
        </w:rPr>
        <w:t>Книги:</w:t>
      </w:r>
    </w:p>
    <w:p w14:paraId="32DF3DF6" w14:textId="75BC9193" w:rsidR="00E12454" w:rsidRPr="00583244" w:rsidRDefault="00E12454" w:rsidP="00583244">
      <w:pPr>
        <w:pStyle w:val="a6"/>
        <w:numPr>
          <w:ilvl w:val="0"/>
          <w:numId w:val="4"/>
        </w:numPr>
        <w:spacing w:after="0"/>
        <w:rPr>
          <w:sz w:val="24"/>
          <w:szCs w:val="24"/>
          <w:lang w:val="uk-UA"/>
        </w:rPr>
      </w:pPr>
      <w:r w:rsidRPr="00583244">
        <w:rPr>
          <w:sz w:val="24"/>
          <w:szCs w:val="24"/>
          <w:lang w:val="en-GB"/>
        </w:rPr>
        <w:t xml:space="preserve">Semenova, M.V. (2019). </w:t>
      </w:r>
      <w:r w:rsidRPr="00583244">
        <w:rPr>
          <w:i/>
          <w:iCs/>
          <w:sz w:val="24"/>
          <w:szCs w:val="24"/>
          <w:lang w:val="en-GB"/>
        </w:rPr>
        <w:t>Economic and legal regulation of tourist activity</w:t>
      </w:r>
      <w:r w:rsidRPr="00583244">
        <w:rPr>
          <w:sz w:val="24"/>
          <w:szCs w:val="24"/>
          <w:lang w:val="en-GB"/>
        </w:rPr>
        <w:t>. Kharkiv: Oberih</w:t>
      </w:r>
      <w:r w:rsidRPr="00583244">
        <w:rPr>
          <w:sz w:val="24"/>
          <w:szCs w:val="24"/>
          <w:lang w:val="uk-UA"/>
        </w:rPr>
        <w:t>.</w:t>
      </w:r>
    </w:p>
    <w:p w14:paraId="716FD7DF" w14:textId="305C7040" w:rsidR="00E12454" w:rsidRDefault="00E12454" w:rsidP="00583244">
      <w:pPr>
        <w:pStyle w:val="a6"/>
        <w:numPr>
          <w:ilvl w:val="0"/>
          <w:numId w:val="4"/>
        </w:numPr>
        <w:spacing w:after="80"/>
        <w:jc w:val="both"/>
        <w:rPr>
          <w:rFonts w:cs="Times New Roman"/>
          <w:sz w:val="24"/>
          <w:szCs w:val="24"/>
        </w:rPr>
      </w:pPr>
      <w:r w:rsidRPr="00583244">
        <w:rPr>
          <w:rFonts w:cs="Times New Roman"/>
          <w:sz w:val="24"/>
          <w:szCs w:val="24"/>
        </w:rPr>
        <w:t xml:space="preserve">Bharadwaj, A., Devaiah, V.H., &amp; Gupta, I. (2023). </w:t>
      </w:r>
      <w:r w:rsidRPr="00583244">
        <w:rPr>
          <w:rFonts w:cs="Times New Roman"/>
          <w:i/>
          <w:iCs/>
          <w:sz w:val="24"/>
          <w:szCs w:val="24"/>
        </w:rPr>
        <w:t>Locating legal certainty in patent licensing</w:t>
      </w:r>
      <w:r w:rsidRPr="00583244">
        <w:rPr>
          <w:rFonts w:cs="Times New Roman"/>
          <w:sz w:val="24"/>
          <w:szCs w:val="24"/>
        </w:rPr>
        <w:t>. Singapore: Springer. doi: 10.1007/978-981-15-0181-4.</w:t>
      </w:r>
    </w:p>
    <w:p w14:paraId="7149671A" w14:textId="77777777" w:rsidR="00583244" w:rsidRDefault="00583244" w:rsidP="00583244">
      <w:pPr>
        <w:pStyle w:val="a6"/>
        <w:numPr>
          <w:ilvl w:val="0"/>
          <w:numId w:val="4"/>
        </w:numPr>
        <w:spacing w:after="0"/>
        <w:ind w:left="714" w:hanging="357"/>
        <w:contextualSpacing w:val="0"/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cs="Times New Roman"/>
          <w:sz w:val="24"/>
          <w:szCs w:val="24"/>
        </w:rPr>
      </w:pPr>
      <w:r w:rsidRPr="00BA0649">
        <w:rPr>
          <w:rFonts w:cs="Times New Roman"/>
          <w:sz w:val="24"/>
          <w:szCs w:val="24"/>
        </w:rPr>
        <w:t>Martinović,</w:t>
      </w:r>
      <w:r>
        <w:rPr>
          <w:rFonts w:cs="Times New Roman"/>
          <w:sz w:val="24"/>
          <w:szCs w:val="24"/>
        </w:rPr>
        <w:t xml:space="preserve"> A.,</w:t>
      </w:r>
      <w:r w:rsidRPr="00BA0649">
        <w:rPr>
          <w:rFonts w:cs="Times New Roman"/>
          <w:sz w:val="24"/>
          <w:szCs w:val="24"/>
        </w:rPr>
        <w:t xml:space="preserve"> Oh</w:t>
      </w:r>
      <w:r>
        <w:rPr>
          <w:rFonts w:cs="Times New Roman"/>
          <w:sz w:val="24"/>
          <w:szCs w:val="24"/>
        </w:rPr>
        <w:t>, S., &amp;</w:t>
      </w:r>
      <w:r w:rsidRPr="00BA0649">
        <w:rPr>
          <w:rFonts w:cs="Times New Roman"/>
          <w:sz w:val="24"/>
          <w:szCs w:val="24"/>
        </w:rPr>
        <w:t xml:space="preserve"> Lelieveld</w:t>
      </w:r>
      <w:r>
        <w:rPr>
          <w:rFonts w:cs="Times New Roman"/>
          <w:sz w:val="24"/>
          <w:szCs w:val="24"/>
        </w:rPr>
        <w:t xml:space="preserve">, H. (Eds.). (2022). </w:t>
      </w:r>
      <w:r w:rsidRPr="00BA0649">
        <w:rPr>
          <w:rFonts w:cs="Times New Roman"/>
          <w:i/>
          <w:iCs/>
          <w:sz w:val="24"/>
          <w:szCs w:val="24"/>
        </w:rPr>
        <w:t>Ensuring global food safety: Exploring global harmonization</w:t>
      </w:r>
      <w:r>
        <w:rPr>
          <w:rFonts w:cs="Times New Roman"/>
          <w:sz w:val="24"/>
          <w:szCs w:val="24"/>
        </w:rPr>
        <w:t xml:space="preserve"> (2nd ed.). </w:t>
      </w:r>
      <w:r w:rsidRPr="00BE5BB2">
        <w:rPr>
          <w:rFonts w:cs="Times New Roman"/>
          <w:sz w:val="24"/>
          <w:szCs w:val="24"/>
        </w:rPr>
        <w:t>Cambridge, Massachusetts</w:t>
      </w:r>
      <w:r>
        <w:rPr>
          <w:rFonts w:cs="Times New Roman"/>
          <w:sz w:val="24"/>
          <w:szCs w:val="24"/>
        </w:rPr>
        <w:t xml:space="preserve">: </w:t>
      </w:r>
      <w:r w:rsidRPr="00BA0649">
        <w:rPr>
          <w:rFonts w:cs="Times New Roman"/>
          <w:sz w:val="24"/>
          <w:szCs w:val="24"/>
        </w:rPr>
        <w:t>Academic Press</w:t>
      </w:r>
      <w:r>
        <w:rPr>
          <w:rFonts w:cs="Times New Roman"/>
          <w:sz w:val="24"/>
          <w:szCs w:val="24"/>
        </w:rPr>
        <w:t xml:space="preserve">. doi: </w:t>
      </w:r>
      <w:r w:rsidRPr="00BA0649">
        <w:rPr>
          <w:rFonts w:cs="Times New Roman"/>
          <w:sz w:val="24"/>
          <w:szCs w:val="24"/>
        </w:rPr>
        <w:t>10.1016/C2017-0-03374-8</w:t>
      </w:r>
      <w:r>
        <w:rPr>
          <w:rFonts w:cs="Times New Roman"/>
          <w:sz w:val="24"/>
          <w:szCs w:val="24"/>
        </w:rPr>
        <w:t xml:space="preserve">. </w:t>
      </w:r>
    </w:p>
    <w:p w14:paraId="409BC63B" w14:textId="1DFA86C4" w:rsidR="00583244" w:rsidRDefault="00583244" w:rsidP="00583244">
      <w:pPr>
        <w:pStyle w:val="a8"/>
        <w:spacing w:before="0" w:beforeAutospacing="0" w:after="0" w:afterAutospacing="0"/>
        <w:rPr>
          <w:b/>
          <w:lang w:val="uk-UA"/>
        </w:rPr>
      </w:pPr>
      <w:r w:rsidRPr="00583244">
        <w:rPr>
          <w:b/>
        </w:rPr>
        <w:t>Розділ книги</w:t>
      </w:r>
      <w:r w:rsidRPr="00583244">
        <w:rPr>
          <w:b/>
          <w:lang w:val="uk-UA"/>
        </w:rPr>
        <w:t>:</w:t>
      </w:r>
    </w:p>
    <w:p w14:paraId="14A7B35D" w14:textId="3C158358" w:rsidR="00583244" w:rsidRDefault="00583244" w:rsidP="00583244">
      <w:pPr>
        <w:pStyle w:val="a6"/>
        <w:numPr>
          <w:ilvl w:val="0"/>
          <w:numId w:val="7"/>
        </w:numPr>
        <w:spacing w:after="0"/>
        <w:ind w:left="714" w:hanging="357"/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cs="Times New Roman"/>
          <w:sz w:val="24"/>
          <w:szCs w:val="24"/>
        </w:rPr>
      </w:pPr>
      <w:r w:rsidRPr="00583244">
        <w:rPr>
          <w:rFonts w:cs="Times New Roman"/>
          <w:sz w:val="24"/>
          <w:szCs w:val="24"/>
        </w:rPr>
        <w:t xml:space="preserve">Pustorino, P. (2023). Individual and collective human rights: Right to life. In </w:t>
      </w:r>
      <w:r w:rsidRPr="00583244">
        <w:rPr>
          <w:rFonts w:cs="Times New Roman"/>
          <w:i/>
          <w:iCs/>
          <w:sz w:val="24"/>
          <w:szCs w:val="24"/>
        </w:rPr>
        <w:t>Introduction to international human rights law</w:t>
      </w:r>
      <w:r w:rsidRPr="00583244">
        <w:rPr>
          <w:rFonts w:cs="Times New Roman"/>
          <w:sz w:val="24"/>
          <w:szCs w:val="24"/>
        </w:rPr>
        <w:t xml:space="preserve"> (pp. 95-117). The Hague: T.M.C. Asser Press. doi: 10.1007/978-94-6265-563-8_6.</w:t>
      </w:r>
    </w:p>
    <w:p w14:paraId="2483D4CD" w14:textId="77777777" w:rsidR="00583244" w:rsidRDefault="00583244" w:rsidP="00583244">
      <w:pPr>
        <w:spacing w:after="0"/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cs="Times New Roman"/>
          <w:sz w:val="24"/>
          <w:szCs w:val="24"/>
          <w:lang w:val="ru-RU"/>
        </w:rPr>
      </w:pPr>
      <w:r w:rsidRPr="00583244">
        <w:rPr>
          <w:rFonts w:cs="Times New Roman"/>
          <w:b/>
          <w:sz w:val="24"/>
          <w:szCs w:val="24"/>
          <w:lang w:val="ru-RU"/>
        </w:rPr>
        <w:t>Матеріали конференції</w:t>
      </w:r>
      <w:r>
        <w:rPr>
          <w:rFonts w:cs="Times New Roman"/>
          <w:b/>
          <w:sz w:val="24"/>
          <w:szCs w:val="24"/>
          <w:lang w:val="uk-UA"/>
        </w:rPr>
        <w:t>:</w:t>
      </w:r>
      <w:r w:rsidRPr="00583244">
        <w:rPr>
          <w:rFonts w:cs="Times New Roman"/>
          <w:sz w:val="24"/>
          <w:szCs w:val="24"/>
          <w:lang w:val="ru-RU"/>
        </w:rPr>
        <w:t xml:space="preserve"> </w:t>
      </w:r>
    </w:p>
    <w:p w14:paraId="205C9CD7" w14:textId="36A650BD" w:rsidR="00583244" w:rsidRPr="00583244" w:rsidRDefault="00583244" w:rsidP="00583244">
      <w:pPr>
        <w:pStyle w:val="a6"/>
        <w:numPr>
          <w:ilvl w:val="0"/>
          <w:numId w:val="7"/>
        </w:numPr>
        <w:spacing w:after="0"/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cs="Times New Roman"/>
          <w:b/>
          <w:sz w:val="24"/>
          <w:szCs w:val="24"/>
          <w:lang w:val="uk-UA"/>
        </w:rPr>
      </w:pPr>
      <w:r w:rsidRPr="00583244">
        <w:rPr>
          <w:rFonts w:cs="Times New Roman"/>
          <w:sz w:val="24"/>
          <w:szCs w:val="24"/>
        </w:rPr>
        <w:t>Demchuk</w:t>
      </w:r>
      <w:r w:rsidRPr="00583244">
        <w:rPr>
          <w:rFonts w:cs="Times New Roman"/>
          <w:sz w:val="24"/>
          <w:szCs w:val="24"/>
          <w:lang w:val="ru-RU"/>
        </w:rPr>
        <w:t xml:space="preserve">, </w:t>
      </w:r>
      <w:r w:rsidRPr="00583244">
        <w:rPr>
          <w:rFonts w:cs="Times New Roman"/>
          <w:sz w:val="24"/>
          <w:szCs w:val="24"/>
        </w:rPr>
        <w:t>T</w:t>
      </w:r>
      <w:r w:rsidRPr="00583244">
        <w:rPr>
          <w:rFonts w:cs="Times New Roman"/>
          <w:sz w:val="24"/>
          <w:szCs w:val="24"/>
          <w:lang w:val="ru-RU"/>
        </w:rPr>
        <w:t>.</w:t>
      </w:r>
      <w:r w:rsidRPr="00583244">
        <w:rPr>
          <w:rFonts w:cs="Times New Roman"/>
          <w:sz w:val="24"/>
          <w:szCs w:val="24"/>
        </w:rPr>
        <w:t>I</w:t>
      </w:r>
      <w:r w:rsidRPr="00583244">
        <w:rPr>
          <w:rFonts w:cs="Times New Roman"/>
          <w:sz w:val="24"/>
          <w:szCs w:val="24"/>
          <w:lang w:val="ru-RU"/>
        </w:rPr>
        <w:t xml:space="preserve">. (2021). </w:t>
      </w:r>
      <w:r w:rsidRPr="00583244">
        <w:rPr>
          <w:rFonts w:cs="Times New Roman"/>
          <w:sz w:val="24"/>
          <w:szCs w:val="24"/>
        </w:rPr>
        <w:t xml:space="preserve">Stages of transformation of the concept of “environmental information” at the international level. In </w:t>
      </w:r>
      <w:r w:rsidRPr="00583244">
        <w:rPr>
          <w:rFonts w:cs="Times New Roman"/>
          <w:i/>
          <w:iCs/>
          <w:sz w:val="24"/>
          <w:szCs w:val="24"/>
        </w:rPr>
        <w:t>Ecological legislation of Ukraine through the prism of its historical development: Materials of the All-Ukrainian scientific-practical conference</w:t>
      </w:r>
      <w:r w:rsidRPr="00583244">
        <w:rPr>
          <w:rFonts w:cs="Times New Roman"/>
          <w:sz w:val="24"/>
          <w:szCs w:val="24"/>
        </w:rPr>
        <w:t xml:space="preserve"> (pp. 172-176). Kyiv: V.M. Koretsky Institute of State and Law of National Academy of Sciences of Ukraine.</w:t>
      </w:r>
    </w:p>
    <w:p w14:paraId="25742546" w14:textId="2162B3EF" w:rsidR="00583244" w:rsidRDefault="00583244" w:rsidP="00583244">
      <w:pPr>
        <w:spacing w:after="0"/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cs="Times New Roman"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  <w:t>Статті:</w:t>
      </w:r>
    </w:p>
    <w:p w14:paraId="629D932A" w14:textId="45762190" w:rsidR="00583244" w:rsidRPr="00583244" w:rsidRDefault="00583244" w:rsidP="00583244">
      <w:pPr>
        <w:pStyle w:val="a6"/>
        <w:numPr>
          <w:ilvl w:val="0"/>
          <w:numId w:val="7"/>
        </w:numPr>
        <w:spacing w:after="0"/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cs="Times New Roman"/>
          <w:sz w:val="24"/>
          <w:szCs w:val="24"/>
          <w:lang w:val="uk-UA"/>
        </w:rPr>
      </w:pPr>
      <w:r w:rsidRPr="00583244">
        <w:rPr>
          <w:rFonts w:cs="Times New Roman"/>
          <w:sz w:val="24"/>
          <w:szCs w:val="24"/>
        </w:rPr>
        <w:t xml:space="preserve">Abubakari, Z., Richter, C., &amp; Zevenbergen, J. (2019). Plural inheritance laws, practices and emergent types of property – implications for updating the land register. </w:t>
      </w:r>
      <w:r w:rsidRPr="00583244">
        <w:rPr>
          <w:rFonts w:cs="Times New Roman"/>
          <w:i/>
          <w:iCs/>
          <w:sz w:val="24"/>
          <w:szCs w:val="24"/>
        </w:rPr>
        <w:t>Sustainability</w:t>
      </w:r>
      <w:r w:rsidRPr="00583244">
        <w:rPr>
          <w:rFonts w:cs="Times New Roman"/>
          <w:sz w:val="24"/>
          <w:szCs w:val="24"/>
        </w:rPr>
        <w:t>, 11(21), article number 6087. doi: 10.3390/su11216087.</w:t>
      </w:r>
    </w:p>
    <w:p w14:paraId="189ECCD8" w14:textId="20C66DDC" w:rsidR="00583244" w:rsidRDefault="00583244" w:rsidP="00583244">
      <w:pPr>
        <w:pStyle w:val="a8"/>
        <w:spacing w:before="0" w:beforeAutospacing="0" w:after="0" w:afterAutospacing="0"/>
        <w:rPr>
          <w:b/>
          <w:lang w:val="uk-UA"/>
        </w:rPr>
      </w:pPr>
      <w:r w:rsidRPr="00583244">
        <w:rPr>
          <w:b/>
        </w:rPr>
        <w:t>Докторські та дисертаційні роботи</w:t>
      </w:r>
      <w:r>
        <w:rPr>
          <w:b/>
          <w:lang w:val="uk-UA"/>
        </w:rPr>
        <w:t>:</w:t>
      </w:r>
    </w:p>
    <w:p w14:paraId="14FCE237" w14:textId="77777777" w:rsidR="003D1302" w:rsidRPr="003D1302" w:rsidRDefault="003D1302" w:rsidP="003D1302">
      <w:pPr>
        <w:pStyle w:val="a6"/>
        <w:numPr>
          <w:ilvl w:val="0"/>
          <w:numId w:val="7"/>
        </w:numPr>
        <w:spacing w:after="80"/>
        <w:jc w:val="both"/>
        <w:rPr>
          <w:rFonts w:cs="Times New Roman"/>
          <w:sz w:val="24"/>
          <w:szCs w:val="24"/>
        </w:rPr>
      </w:pPr>
      <w:r w:rsidRPr="003D1302">
        <w:rPr>
          <w:rFonts w:cs="Times New Roman"/>
          <w:sz w:val="24"/>
          <w:szCs w:val="24"/>
        </w:rPr>
        <w:t xml:space="preserve">Hasanat, A. (2021) </w:t>
      </w:r>
      <w:r w:rsidRPr="003D1302">
        <w:rPr>
          <w:rFonts w:cs="Times New Roman"/>
          <w:i/>
          <w:iCs/>
          <w:sz w:val="24"/>
          <w:szCs w:val="24"/>
        </w:rPr>
        <w:t>Enforcing the environment conservation act in Bangladesh: Role of legal institutions under statutory and constitutional laws</w:t>
      </w:r>
      <w:r w:rsidRPr="003D1302">
        <w:rPr>
          <w:rFonts w:cs="Times New Roman"/>
          <w:sz w:val="24"/>
          <w:szCs w:val="24"/>
        </w:rPr>
        <w:t xml:space="preserve"> (PhD thesis, Queensland University of Technology,</w:t>
      </w:r>
      <w:r w:rsidRPr="003D1302">
        <w:rPr>
          <w:rFonts w:cs="Times New Roman"/>
          <w:sz w:val="24"/>
          <w:szCs w:val="24"/>
          <w:lang w:val="uk-UA"/>
        </w:rPr>
        <w:t xml:space="preserve"> Brisbane</w:t>
      </w:r>
      <w:r w:rsidRPr="003D1302">
        <w:rPr>
          <w:rFonts w:cs="Times New Roman"/>
          <w:sz w:val="24"/>
          <w:szCs w:val="24"/>
        </w:rPr>
        <w:t>, Australia).</w:t>
      </w:r>
    </w:p>
    <w:p w14:paraId="77715FF8" w14:textId="447F24EF" w:rsidR="00583244" w:rsidRPr="00583244" w:rsidRDefault="003D1302" w:rsidP="003D1302">
      <w:pPr>
        <w:pStyle w:val="a8"/>
        <w:numPr>
          <w:ilvl w:val="0"/>
          <w:numId w:val="7"/>
        </w:numPr>
        <w:spacing w:before="0" w:beforeAutospacing="0" w:after="0" w:afterAutospacing="0"/>
        <w:rPr>
          <w:lang w:val="uk-UA"/>
        </w:rPr>
      </w:pPr>
      <w:r w:rsidRPr="005E6445">
        <w:t xml:space="preserve">Horokh, O.P. (2019). </w:t>
      </w:r>
      <w:r w:rsidRPr="005E6445">
        <w:rPr>
          <w:i/>
          <w:iCs/>
        </w:rPr>
        <w:t>Release from punishment and from the service of sentence under the Criminal Code of Ukraine</w:t>
      </w:r>
      <w:r w:rsidRPr="005E6445">
        <w:t xml:space="preserve"> (Doctoral thesis, National Academy of Sciences of Ukraine Institute of the State and Law named after V.M. Koretsky, Kyiv, Ukraine).</w:t>
      </w:r>
    </w:p>
    <w:p w14:paraId="5FF266A7" w14:textId="43562B92" w:rsidR="00583244" w:rsidRPr="003D1302" w:rsidRDefault="003D1302" w:rsidP="00583244">
      <w:pPr>
        <w:spacing w:after="0"/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cs="Times New Roman"/>
          <w:b/>
          <w:sz w:val="24"/>
          <w:szCs w:val="24"/>
          <w:lang w:val="uk-UA"/>
        </w:rPr>
      </w:pPr>
      <w:r w:rsidRPr="003D1302">
        <w:rPr>
          <w:rFonts w:cs="Times New Roman"/>
          <w:b/>
          <w:sz w:val="24"/>
          <w:szCs w:val="24"/>
          <w:lang w:val="uk-UA"/>
        </w:rPr>
        <w:t>Законодавчі акти</w:t>
      </w:r>
      <w:r>
        <w:rPr>
          <w:rFonts w:cs="Times New Roman"/>
          <w:b/>
          <w:sz w:val="24"/>
          <w:szCs w:val="24"/>
          <w:lang w:val="uk-UA"/>
        </w:rPr>
        <w:t>:</w:t>
      </w:r>
    </w:p>
    <w:p w14:paraId="2DF90152" w14:textId="77777777" w:rsidR="003D1302" w:rsidRPr="003D1302" w:rsidRDefault="003D1302" w:rsidP="003D1302">
      <w:pPr>
        <w:pStyle w:val="a6"/>
        <w:numPr>
          <w:ilvl w:val="0"/>
          <w:numId w:val="11"/>
        </w:numPr>
        <w:spacing w:after="80"/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cs="Times New Roman"/>
          <w:sz w:val="24"/>
          <w:szCs w:val="24"/>
        </w:rPr>
      </w:pPr>
      <w:r w:rsidRPr="003D1302">
        <w:rPr>
          <w:rFonts w:cs="Times New Roman"/>
          <w:sz w:val="24"/>
          <w:szCs w:val="24"/>
        </w:rPr>
        <w:t xml:space="preserve">Constitution of Ukraine. (1996, June). Retrieved from </w:t>
      </w:r>
      <w:hyperlink r:id="rId9" w:anchor="Text" w:history="1">
        <w:r w:rsidRPr="003D1302">
          <w:rPr>
            <w:rStyle w:val="aa"/>
            <w:rFonts w:cs="Times New Roman"/>
            <w:sz w:val="24"/>
            <w:szCs w:val="24"/>
          </w:rPr>
          <w:t>https://zakon.rada.gov.ua/laws/show/254к/96-вр#Text</w:t>
        </w:r>
      </w:hyperlink>
      <w:r w:rsidRPr="003D1302">
        <w:rPr>
          <w:rFonts w:cs="Times New Roman"/>
          <w:sz w:val="24"/>
          <w:szCs w:val="24"/>
        </w:rPr>
        <w:t>.</w:t>
      </w:r>
    </w:p>
    <w:p w14:paraId="44B47F5B" w14:textId="77777777" w:rsidR="003D1302" w:rsidRPr="003D1302" w:rsidRDefault="003D1302" w:rsidP="003D1302">
      <w:pPr>
        <w:pStyle w:val="a6"/>
        <w:numPr>
          <w:ilvl w:val="0"/>
          <w:numId w:val="11"/>
        </w:numPr>
        <w:spacing w:after="80"/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cs="Times New Roman"/>
          <w:sz w:val="24"/>
          <w:szCs w:val="24"/>
        </w:rPr>
      </w:pPr>
      <w:r w:rsidRPr="003D1302">
        <w:rPr>
          <w:rFonts w:cs="Times New Roman"/>
          <w:sz w:val="24"/>
          <w:szCs w:val="24"/>
        </w:rPr>
        <w:t xml:space="preserve">Law of Ukraine No. 3116-XII “On the Protection of Rights to Plant Varieties”. (2021, October). Retrieved from </w:t>
      </w:r>
      <w:hyperlink r:id="rId10" w:anchor="Text" w:history="1">
        <w:r w:rsidRPr="003D1302">
          <w:rPr>
            <w:rStyle w:val="aa"/>
            <w:rFonts w:cs="Times New Roman"/>
            <w:sz w:val="24"/>
            <w:szCs w:val="24"/>
          </w:rPr>
          <w:t>https://zakon.rada.gov.ua/laws/show/3116-12#Text</w:t>
        </w:r>
      </w:hyperlink>
      <w:r w:rsidRPr="003D1302">
        <w:rPr>
          <w:rFonts w:cs="Times New Roman"/>
          <w:sz w:val="24"/>
          <w:szCs w:val="24"/>
        </w:rPr>
        <w:t>.</w:t>
      </w:r>
    </w:p>
    <w:p w14:paraId="2F10CBEB" w14:textId="26E4E70E" w:rsidR="00583244" w:rsidRDefault="003D1302" w:rsidP="00583244">
      <w:pPr>
        <w:pStyle w:val="a8"/>
        <w:spacing w:before="0" w:beforeAutospacing="0" w:after="0" w:afterAutospacing="0"/>
        <w:rPr>
          <w:b/>
          <w:lang w:val="uk-UA"/>
        </w:rPr>
      </w:pPr>
      <w:r w:rsidRPr="003D1302">
        <w:rPr>
          <w:b/>
          <w:lang w:val="uk-UA"/>
        </w:rPr>
        <w:t>Веб-сторінки</w:t>
      </w:r>
      <w:r>
        <w:rPr>
          <w:b/>
          <w:lang w:val="uk-UA"/>
        </w:rPr>
        <w:t>:</w:t>
      </w:r>
    </w:p>
    <w:p w14:paraId="5E299848" w14:textId="09D8FE83" w:rsidR="00E12454" w:rsidRPr="003D1302" w:rsidRDefault="003D1302" w:rsidP="003D1302">
      <w:pPr>
        <w:pStyle w:val="a6"/>
        <w:numPr>
          <w:ilvl w:val="0"/>
          <w:numId w:val="13"/>
        </w:numPr>
        <w:spacing w:after="0"/>
        <w:jc w:val="both"/>
        <w:rPr>
          <w:lang w:val="uk-UA"/>
        </w:rPr>
      </w:pPr>
      <w:bookmarkStart w:id="0" w:name="_GoBack"/>
      <w:r w:rsidRPr="00DD313D">
        <w:rPr>
          <w:rFonts w:cstheme="minorHAnsi"/>
          <w:b/>
          <w:bCs/>
          <w:noProof/>
          <w:sz w:val="28"/>
        </w:rPr>
        <w:drawing>
          <wp:anchor distT="0" distB="0" distL="114300" distR="114300" simplePos="0" relativeHeight="251661312" behindDoc="0" locked="0" layoutInCell="1" allowOverlap="1" wp14:anchorId="13FA662E" wp14:editId="64A8960B">
            <wp:simplePos x="0" y="0"/>
            <wp:positionH relativeFrom="page">
              <wp:align>left</wp:align>
            </wp:positionH>
            <wp:positionV relativeFrom="page">
              <wp:posOffset>9249410</wp:posOffset>
            </wp:positionV>
            <wp:extent cx="7762875" cy="82095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82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3D1302">
        <w:rPr>
          <w:rFonts w:cs="Times New Roman"/>
          <w:sz w:val="24"/>
          <w:szCs w:val="24"/>
        </w:rPr>
        <w:t xml:space="preserve">Kuklińska, L.A. (2021). </w:t>
      </w:r>
      <w:r w:rsidRPr="003D1302">
        <w:rPr>
          <w:rFonts w:cs="Times New Roman"/>
          <w:i/>
          <w:iCs/>
          <w:sz w:val="24"/>
          <w:szCs w:val="24"/>
        </w:rPr>
        <w:t>A short introduction to patenting of animals and a discussion on the ethicality of such</w:t>
      </w:r>
      <w:r w:rsidRPr="003D1302">
        <w:rPr>
          <w:rFonts w:cs="Times New Roman"/>
          <w:sz w:val="24"/>
          <w:szCs w:val="24"/>
        </w:rPr>
        <w:t xml:space="preserve">. Retrieved from </w:t>
      </w:r>
      <w:hyperlink r:id="rId11" w:history="1">
        <w:r w:rsidRPr="003D1302">
          <w:rPr>
            <w:rStyle w:val="aa"/>
            <w:rFonts w:cs="Times New Roman"/>
            <w:sz w:val="24"/>
            <w:szCs w:val="24"/>
          </w:rPr>
          <w:t>https://ine.org.pl/en/a-short-introduction-to-patenting-of-animals-and-a-discussion-on-the-legal-morality-of-such-2/</w:t>
        </w:r>
      </w:hyperlink>
      <w:r w:rsidRPr="003D1302">
        <w:rPr>
          <w:rFonts w:cs="Times New Roman"/>
          <w:sz w:val="24"/>
          <w:szCs w:val="24"/>
        </w:rPr>
        <w:t>.</w:t>
      </w:r>
    </w:p>
    <w:sectPr w:rsidR="00E12454" w:rsidRPr="003D1302" w:rsidSect="009C5297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4C6AC" w14:textId="77777777" w:rsidR="001E6720" w:rsidRDefault="001E6720" w:rsidP="00E97CA1">
      <w:pPr>
        <w:spacing w:after="0" w:line="240" w:lineRule="auto"/>
      </w:pPr>
      <w:r>
        <w:separator/>
      </w:r>
    </w:p>
  </w:endnote>
  <w:endnote w:type="continuationSeparator" w:id="0">
    <w:p w14:paraId="28CFEB8A" w14:textId="77777777" w:rsidR="001E6720" w:rsidRDefault="001E6720" w:rsidP="00E9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B9F20" w14:textId="77777777" w:rsidR="001E6720" w:rsidRDefault="001E6720" w:rsidP="00E97CA1">
      <w:pPr>
        <w:spacing w:after="0" w:line="240" w:lineRule="auto"/>
      </w:pPr>
      <w:r>
        <w:separator/>
      </w:r>
    </w:p>
  </w:footnote>
  <w:footnote w:type="continuationSeparator" w:id="0">
    <w:p w14:paraId="46F386E3" w14:textId="77777777" w:rsidR="001E6720" w:rsidRDefault="001E6720" w:rsidP="00E97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CE9"/>
    <w:multiLevelType w:val="hybridMultilevel"/>
    <w:tmpl w:val="79C2AA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12211"/>
    <w:multiLevelType w:val="multilevel"/>
    <w:tmpl w:val="3F5C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55F1F"/>
    <w:multiLevelType w:val="hybridMultilevel"/>
    <w:tmpl w:val="66B839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B23E3"/>
    <w:multiLevelType w:val="hybridMultilevel"/>
    <w:tmpl w:val="CCB856E0"/>
    <w:lvl w:ilvl="0" w:tplc="2000000F">
      <w:start w:val="1"/>
      <w:numFmt w:val="decimal"/>
      <w:lvlText w:val="%1."/>
      <w:lvlJc w:val="left"/>
      <w:pPr>
        <w:ind w:left="1079" w:hanging="360"/>
      </w:pPr>
    </w:lvl>
    <w:lvl w:ilvl="1" w:tplc="20000019" w:tentative="1">
      <w:start w:val="1"/>
      <w:numFmt w:val="lowerLetter"/>
      <w:lvlText w:val="%2."/>
      <w:lvlJc w:val="left"/>
      <w:pPr>
        <w:ind w:left="1799" w:hanging="360"/>
      </w:pPr>
    </w:lvl>
    <w:lvl w:ilvl="2" w:tplc="2000001B" w:tentative="1">
      <w:start w:val="1"/>
      <w:numFmt w:val="lowerRoman"/>
      <w:lvlText w:val="%3."/>
      <w:lvlJc w:val="right"/>
      <w:pPr>
        <w:ind w:left="2519" w:hanging="180"/>
      </w:pPr>
    </w:lvl>
    <w:lvl w:ilvl="3" w:tplc="2000000F" w:tentative="1">
      <w:start w:val="1"/>
      <w:numFmt w:val="decimal"/>
      <w:lvlText w:val="%4."/>
      <w:lvlJc w:val="left"/>
      <w:pPr>
        <w:ind w:left="3239" w:hanging="360"/>
      </w:pPr>
    </w:lvl>
    <w:lvl w:ilvl="4" w:tplc="20000019" w:tentative="1">
      <w:start w:val="1"/>
      <w:numFmt w:val="lowerLetter"/>
      <w:lvlText w:val="%5."/>
      <w:lvlJc w:val="left"/>
      <w:pPr>
        <w:ind w:left="3959" w:hanging="360"/>
      </w:pPr>
    </w:lvl>
    <w:lvl w:ilvl="5" w:tplc="2000001B" w:tentative="1">
      <w:start w:val="1"/>
      <w:numFmt w:val="lowerRoman"/>
      <w:lvlText w:val="%6."/>
      <w:lvlJc w:val="right"/>
      <w:pPr>
        <w:ind w:left="4679" w:hanging="180"/>
      </w:pPr>
    </w:lvl>
    <w:lvl w:ilvl="6" w:tplc="2000000F" w:tentative="1">
      <w:start w:val="1"/>
      <w:numFmt w:val="decimal"/>
      <w:lvlText w:val="%7."/>
      <w:lvlJc w:val="left"/>
      <w:pPr>
        <w:ind w:left="5399" w:hanging="360"/>
      </w:pPr>
    </w:lvl>
    <w:lvl w:ilvl="7" w:tplc="20000019" w:tentative="1">
      <w:start w:val="1"/>
      <w:numFmt w:val="lowerLetter"/>
      <w:lvlText w:val="%8."/>
      <w:lvlJc w:val="left"/>
      <w:pPr>
        <w:ind w:left="6119" w:hanging="360"/>
      </w:pPr>
    </w:lvl>
    <w:lvl w:ilvl="8" w:tplc="200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3B973E34"/>
    <w:multiLevelType w:val="hybridMultilevel"/>
    <w:tmpl w:val="17A44A6A"/>
    <w:lvl w:ilvl="0" w:tplc="29748B86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21" w:hanging="360"/>
      </w:pPr>
    </w:lvl>
    <w:lvl w:ilvl="2" w:tplc="2000001B" w:tentative="1">
      <w:start w:val="1"/>
      <w:numFmt w:val="lowerRoman"/>
      <w:lvlText w:val="%3."/>
      <w:lvlJc w:val="right"/>
      <w:pPr>
        <w:ind w:left="1841" w:hanging="180"/>
      </w:pPr>
    </w:lvl>
    <w:lvl w:ilvl="3" w:tplc="2000000F" w:tentative="1">
      <w:start w:val="1"/>
      <w:numFmt w:val="decimal"/>
      <w:lvlText w:val="%4."/>
      <w:lvlJc w:val="left"/>
      <w:pPr>
        <w:ind w:left="2561" w:hanging="360"/>
      </w:pPr>
    </w:lvl>
    <w:lvl w:ilvl="4" w:tplc="20000019" w:tentative="1">
      <w:start w:val="1"/>
      <w:numFmt w:val="lowerLetter"/>
      <w:lvlText w:val="%5."/>
      <w:lvlJc w:val="left"/>
      <w:pPr>
        <w:ind w:left="3281" w:hanging="360"/>
      </w:pPr>
    </w:lvl>
    <w:lvl w:ilvl="5" w:tplc="2000001B" w:tentative="1">
      <w:start w:val="1"/>
      <w:numFmt w:val="lowerRoman"/>
      <w:lvlText w:val="%6."/>
      <w:lvlJc w:val="right"/>
      <w:pPr>
        <w:ind w:left="4001" w:hanging="180"/>
      </w:pPr>
    </w:lvl>
    <w:lvl w:ilvl="6" w:tplc="2000000F" w:tentative="1">
      <w:start w:val="1"/>
      <w:numFmt w:val="decimal"/>
      <w:lvlText w:val="%7."/>
      <w:lvlJc w:val="left"/>
      <w:pPr>
        <w:ind w:left="4721" w:hanging="360"/>
      </w:pPr>
    </w:lvl>
    <w:lvl w:ilvl="7" w:tplc="20000019" w:tentative="1">
      <w:start w:val="1"/>
      <w:numFmt w:val="lowerLetter"/>
      <w:lvlText w:val="%8."/>
      <w:lvlJc w:val="left"/>
      <w:pPr>
        <w:ind w:left="5441" w:hanging="360"/>
      </w:pPr>
    </w:lvl>
    <w:lvl w:ilvl="8" w:tplc="2000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3BF27C5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041F7"/>
    <w:multiLevelType w:val="multilevel"/>
    <w:tmpl w:val="AC32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5736A3"/>
    <w:multiLevelType w:val="hybridMultilevel"/>
    <w:tmpl w:val="99C220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07CC2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554F5"/>
    <w:multiLevelType w:val="hybridMultilevel"/>
    <w:tmpl w:val="15A6C6C6"/>
    <w:lvl w:ilvl="0" w:tplc="0422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34" w:hanging="360"/>
      </w:pPr>
    </w:lvl>
    <w:lvl w:ilvl="2" w:tplc="FFFFFFFF" w:tentative="1">
      <w:start w:val="1"/>
      <w:numFmt w:val="lowerRoman"/>
      <w:lvlText w:val="%3."/>
      <w:lvlJc w:val="right"/>
      <w:pPr>
        <w:ind w:left="2454" w:hanging="180"/>
      </w:pPr>
    </w:lvl>
    <w:lvl w:ilvl="3" w:tplc="FFFFFFFF" w:tentative="1">
      <w:start w:val="1"/>
      <w:numFmt w:val="decimal"/>
      <w:lvlText w:val="%4."/>
      <w:lvlJc w:val="left"/>
      <w:pPr>
        <w:ind w:left="3174" w:hanging="360"/>
      </w:pPr>
    </w:lvl>
    <w:lvl w:ilvl="4" w:tplc="FFFFFFFF" w:tentative="1">
      <w:start w:val="1"/>
      <w:numFmt w:val="lowerLetter"/>
      <w:lvlText w:val="%5."/>
      <w:lvlJc w:val="left"/>
      <w:pPr>
        <w:ind w:left="3894" w:hanging="360"/>
      </w:pPr>
    </w:lvl>
    <w:lvl w:ilvl="5" w:tplc="FFFFFFFF" w:tentative="1">
      <w:start w:val="1"/>
      <w:numFmt w:val="lowerRoman"/>
      <w:lvlText w:val="%6."/>
      <w:lvlJc w:val="right"/>
      <w:pPr>
        <w:ind w:left="4614" w:hanging="180"/>
      </w:pPr>
    </w:lvl>
    <w:lvl w:ilvl="6" w:tplc="FFFFFFFF" w:tentative="1">
      <w:start w:val="1"/>
      <w:numFmt w:val="decimal"/>
      <w:lvlText w:val="%7."/>
      <w:lvlJc w:val="left"/>
      <w:pPr>
        <w:ind w:left="5334" w:hanging="360"/>
      </w:pPr>
    </w:lvl>
    <w:lvl w:ilvl="7" w:tplc="FFFFFFFF" w:tentative="1">
      <w:start w:val="1"/>
      <w:numFmt w:val="lowerLetter"/>
      <w:lvlText w:val="%8."/>
      <w:lvlJc w:val="left"/>
      <w:pPr>
        <w:ind w:left="6054" w:hanging="360"/>
      </w:pPr>
    </w:lvl>
    <w:lvl w:ilvl="8" w:tplc="FFFFFFFF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0" w15:restartNumberingAfterBreak="0">
    <w:nsid w:val="600146D9"/>
    <w:multiLevelType w:val="hybridMultilevel"/>
    <w:tmpl w:val="4D8ED8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B4EC6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37433"/>
    <w:multiLevelType w:val="hybridMultilevel"/>
    <w:tmpl w:val="4C9A3034"/>
    <w:lvl w:ilvl="0" w:tplc="FFFFFFFF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34" w:hanging="360"/>
      </w:pPr>
    </w:lvl>
    <w:lvl w:ilvl="2" w:tplc="FFFFFFFF" w:tentative="1">
      <w:start w:val="1"/>
      <w:numFmt w:val="lowerRoman"/>
      <w:lvlText w:val="%3."/>
      <w:lvlJc w:val="right"/>
      <w:pPr>
        <w:ind w:left="2454" w:hanging="180"/>
      </w:pPr>
    </w:lvl>
    <w:lvl w:ilvl="3" w:tplc="FFFFFFFF" w:tentative="1">
      <w:start w:val="1"/>
      <w:numFmt w:val="decimal"/>
      <w:lvlText w:val="%4."/>
      <w:lvlJc w:val="left"/>
      <w:pPr>
        <w:ind w:left="3174" w:hanging="360"/>
      </w:pPr>
    </w:lvl>
    <w:lvl w:ilvl="4" w:tplc="FFFFFFFF" w:tentative="1">
      <w:start w:val="1"/>
      <w:numFmt w:val="lowerLetter"/>
      <w:lvlText w:val="%5."/>
      <w:lvlJc w:val="left"/>
      <w:pPr>
        <w:ind w:left="3894" w:hanging="360"/>
      </w:pPr>
    </w:lvl>
    <w:lvl w:ilvl="5" w:tplc="FFFFFFFF" w:tentative="1">
      <w:start w:val="1"/>
      <w:numFmt w:val="lowerRoman"/>
      <w:lvlText w:val="%6."/>
      <w:lvlJc w:val="right"/>
      <w:pPr>
        <w:ind w:left="4614" w:hanging="180"/>
      </w:pPr>
    </w:lvl>
    <w:lvl w:ilvl="6" w:tplc="FFFFFFFF" w:tentative="1">
      <w:start w:val="1"/>
      <w:numFmt w:val="decimal"/>
      <w:lvlText w:val="%7."/>
      <w:lvlJc w:val="left"/>
      <w:pPr>
        <w:ind w:left="5334" w:hanging="360"/>
      </w:pPr>
    </w:lvl>
    <w:lvl w:ilvl="7" w:tplc="FFFFFFFF" w:tentative="1">
      <w:start w:val="1"/>
      <w:numFmt w:val="lowerLetter"/>
      <w:lvlText w:val="%8."/>
      <w:lvlJc w:val="left"/>
      <w:pPr>
        <w:ind w:left="6054" w:hanging="360"/>
      </w:pPr>
    </w:lvl>
    <w:lvl w:ilvl="8" w:tplc="FFFFFFFF" w:tentative="1">
      <w:start w:val="1"/>
      <w:numFmt w:val="lowerRoman"/>
      <w:lvlText w:val="%9."/>
      <w:lvlJc w:val="right"/>
      <w:pPr>
        <w:ind w:left="6774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11"/>
  </w:num>
  <w:num w:numId="7">
    <w:abstractNumId w:val="0"/>
  </w:num>
  <w:num w:numId="8">
    <w:abstractNumId w:val="5"/>
  </w:num>
  <w:num w:numId="9">
    <w:abstractNumId w:val="12"/>
  </w:num>
  <w:num w:numId="10">
    <w:abstractNumId w:val="9"/>
  </w:num>
  <w:num w:numId="11">
    <w:abstractNumId w:val="1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19"/>
    <w:rsid w:val="000531C2"/>
    <w:rsid w:val="00067DDD"/>
    <w:rsid w:val="00083881"/>
    <w:rsid w:val="00093857"/>
    <w:rsid w:val="000B0026"/>
    <w:rsid w:val="000E7B5A"/>
    <w:rsid w:val="00100076"/>
    <w:rsid w:val="00103FBF"/>
    <w:rsid w:val="00112E21"/>
    <w:rsid w:val="00113C67"/>
    <w:rsid w:val="00124390"/>
    <w:rsid w:val="00130B6A"/>
    <w:rsid w:val="001314C7"/>
    <w:rsid w:val="001501A0"/>
    <w:rsid w:val="00152E63"/>
    <w:rsid w:val="00171606"/>
    <w:rsid w:val="001737A0"/>
    <w:rsid w:val="001761EC"/>
    <w:rsid w:val="001A2DAE"/>
    <w:rsid w:val="001C3F8B"/>
    <w:rsid w:val="001D6677"/>
    <w:rsid w:val="001E6720"/>
    <w:rsid w:val="001F05FC"/>
    <w:rsid w:val="001F16F5"/>
    <w:rsid w:val="001F6B32"/>
    <w:rsid w:val="0020603D"/>
    <w:rsid w:val="00233B14"/>
    <w:rsid w:val="00250F87"/>
    <w:rsid w:val="002548A7"/>
    <w:rsid w:val="002610B1"/>
    <w:rsid w:val="002646E6"/>
    <w:rsid w:val="00287361"/>
    <w:rsid w:val="002C2BDD"/>
    <w:rsid w:val="002D0FA7"/>
    <w:rsid w:val="002F5EBE"/>
    <w:rsid w:val="0030276E"/>
    <w:rsid w:val="00330034"/>
    <w:rsid w:val="0033249E"/>
    <w:rsid w:val="0034389A"/>
    <w:rsid w:val="00397A67"/>
    <w:rsid w:val="003A7DE7"/>
    <w:rsid w:val="003D1302"/>
    <w:rsid w:val="003E6764"/>
    <w:rsid w:val="0040142A"/>
    <w:rsid w:val="004076DB"/>
    <w:rsid w:val="00416B11"/>
    <w:rsid w:val="004370E2"/>
    <w:rsid w:val="00461869"/>
    <w:rsid w:val="00475F0B"/>
    <w:rsid w:val="00476FA3"/>
    <w:rsid w:val="00487C1B"/>
    <w:rsid w:val="00494F62"/>
    <w:rsid w:val="00495C05"/>
    <w:rsid w:val="00497263"/>
    <w:rsid w:val="004B675A"/>
    <w:rsid w:val="004C65AE"/>
    <w:rsid w:val="004D751C"/>
    <w:rsid w:val="004D7A5B"/>
    <w:rsid w:val="004F6519"/>
    <w:rsid w:val="005106A0"/>
    <w:rsid w:val="005254B1"/>
    <w:rsid w:val="00540E29"/>
    <w:rsid w:val="00546712"/>
    <w:rsid w:val="00553FB2"/>
    <w:rsid w:val="005649C7"/>
    <w:rsid w:val="005704F5"/>
    <w:rsid w:val="00571951"/>
    <w:rsid w:val="005823F8"/>
    <w:rsid w:val="00583244"/>
    <w:rsid w:val="00585098"/>
    <w:rsid w:val="005A4276"/>
    <w:rsid w:val="00607423"/>
    <w:rsid w:val="0061235E"/>
    <w:rsid w:val="00631C40"/>
    <w:rsid w:val="00653E8B"/>
    <w:rsid w:val="00657750"/>
    <w:rsid w:val="00664132"/>
    <w:rsid w:val="00673A2E"/>
    <w:rsid w:val="00693E4D"/>
    <w:rsid w:val="00697EA2"/>
    <w:rsid w:val="006B46F1"/>
    <w:rsid w:val="006F21D7"/>
    <w:rsid w:val="00716839"/>
    <w:rsid w:val="00756A1A"/>
    <w:rsid w:val="00763498"/>
    <w:rsid w:val="0076540D"/>
    <w:rsid w:val="007655A6"/>
    <w:rsid w:val="007823D4"/>
    <w:rsid w:val="007A7405"/>
    <w:rsid w:val="007F61EE"/>
    <w:rsid w:val="008052F6"/>
    <w:rsid w:val="00814C6A"/>
    <w:rsid w:val="0081500E"/>
    <w:rsid w:val="00841293"/>
    <w:rsid w:val="00846722"/>
    <w:rsid w:val="008505E9"/>
    <w:rsid w:val="008540D7"/>
    <w:rsid w:val="008923B1"/>
    <w:rsid w:val="008A3646"/>
    <w:rsid w:val="008B2A05"/>
    <w:rsid w:val="008C126B"/>
    <w:rsid w:val="008D3206"/>
    <w:rsid w:val="008E1DC6"/>
    <w:rsid w:val="009145A7"/>
    <w:rsid w:val="00914795"/>
    <w:rsid w:val="00916FD1"/>
    <w:rsid w:val="00920D08"/>
    <w:rsid w:val="00960D51"/>
    <w:rsid w:val="0097297C"/>
    <w:rsid w:val="009756FB"/>
    <w:rsid w:val="009823F3"/>
    <w:rsid w:val="00992B45"/>
    <w:rsid w:val="0099615E"/>
    <w:rsid w:val="009C5297"/>
    <w:rsid w:val="009D26D6"/>
    <w:rsid w:val="00A03B17"/>
    <w:rsid w:val="00A1025D"/>
    <w:rsid w:val="00A77DB8"/>
    <w:rsid w:val="00A9210A"/>
    <w:rsid w:val="00AB11CD"/>
    <w:rsid w:val="00AD6838"/>
    <w:rsid w:val="00B06DAC"/>
    <w:rsid w:val="00B50274"/>
    <w:rsid w:val="00B559D0"/>
    <w:rsid w:val="00B75104"/>
    <w:rsid w:val="00B834BE"/>
    <w:rsid w:val="00BB49B0"/>
    <w:rsid w:val="00BC057F"/>
    <w:rsid w:val="00BD2533"/>
    <w:rsid w:val="00BD49DD"/>
    <w:rsid w:val="00BD5B72"/>
    <w:rsid w:val="00BE12CB"/>
    <w:rsid w:val="00BE2279"/>
    <w:rsid w:val="00BF6C65"/>
    <w:rsid w:val="00C22855"/>
    <w:rsid w:val="00C34CC5"/>
    <w:rsid w:val="00C35611"/>
    <w:rsid w:val="00C368E9"/>
    <w:rsid w:val="00C424C2"/>
    <w:rsid w:val="00C671FA"/>
    <w:rsid w:val="00C817B5"/>
    <w:rsid w:val="00C81DF0"/>
    <w:rsid w:val="00C87E31"/>
    <w:rsid w:val="00C93F1E"/>
    <w:rsid w:val="00CB22EE"/>
    <w:rsid w:val="00CC6B30"/>
    <w:rsid w:val="00CD291E"/>
    <w:rsid w:val="00D21F76"/>
    <w:rsid w:val="00D33C5B"/>
    <w:rsid w:val="00D41285"/>
    <w:rsid w:val="00D94876"/>
    <w:rsid w:val="00DA6F77"/>
    <w:rsid w:val="00DA70EF"/>
    <w:rsid w:val="00DB631D"/>
    <w:rsid w:val="00DC582E"/>
    <w:rsid w:val="00DD4940"/>
    <w:rsid w:val="00DE4262"/>
    <w:rsid w:val="00DF24AA"/>
    <w:rsid w:val="00E008A5"/>
    <w:rsid w:val="00E12454"/>
    <w:rsid w:val="00E274B1"/>
    <w:rsid w:val="00E27FF8"/>
    <w:rsid w:val="00E346B4"/>
    <w:rsid w:val="00E6740E"/>
    <w:rsid w:val="00E70173"/>
    <w:rsid w:val="00E7037A"/>
    <w:rsid w:val="00E97CA1"/>
    <w:rsid w:val="00EA180E"/>
    <w:rsid w:val="00EB706B"/>
    <w:rsid w:val="00EE7BF2"/>
    <w:rsid w:val="00EF4641"/>
    <w:rsid w:val="00EF6BAB"/>
    <w:rsid w:val="00F0205D"/>
    <w:rsid w:val="00F0373D"/>
    <w:rsid w:val="00F051C2"/>
    <w:rsid w:val="00F75EFA"/>
    <w:rsid w:val="00F81DF9"/>
    <w:rsid w:val="00FD4326"/>
    <w:rsid w:val="00FE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E285"/>
  <w15:chartTrackingRefBased/>
  <w15:docId w15:val="{2229B32B-DB5C-4281-9EDF-00386CB1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-noindent">
    <w:name w:val="Normal-no indent"/>
    <w:basedOn w:val="a"/>
    <w:rsid w:val="00E97CA1"/>
    <w:pPr>
      <w:spacing w:after="0" w:line="240" w:lineRule="auto"/>
      <w:jc w:val="both"/>
    </w:pPr>
    <w:rPr>
      <w:rFonts w:eastAsia="Times New Roman" w:cs="Times New Roman"/>
      <w:sz w:val="20"/>
      <w:szCs w:val="20"/>
      <w:lang w:val="en-GB"/>
    </w:rPr>
  </w:style>
  <w:style w:type="paragraph" w:styleId="a3">
    <w:name w:val="footnote text"/>
    <w:basedOn w:val="a"/>
    <w:link w:val="a4"/>
    <w:rsid w:val="00E97CA1"/>
    <w:pPr>
      <w:spacing w:after="0" w:line="240" w:lineRule="auto"/>
      <w:jc w:val="both"/>
    </w:pPr>
    <w:rPr>
      <w:rFonts w:eastAsia="Times New Roman" w:cs="Times New Roman"/>
      <w:sz w:val="24"/>
      <w:szCs w:val="24"/>
      <w:lang w:val="en-GB"/>
    </w:rPr>
  </w:style>
  <w:style w:type="character" w:customStyle="1" w:styleId="a4">
    <w:name w:val="Текст сноски Знак"/>
    <w:basedOn w:val="a0"/>
    <w:link w:val="a3"/>
    <w:rsid w:val="00E97CA1"/>
    <w:rPr>
      <w:rFonts w:eastAsia="Times New Roman" w:cs="Times New Roman"/>
      <w:sz w:val="24"/>
      <w:szCs w:val="24"/>
      <w:lang w:val="en-GB"/>
    </w:rPr>
  </w:style>
  <w:style w:type="character" w:styleId="a5">
    <w:name w:val="footnote reference"/>
    <w:basedOn w:val="a0"/>
    <w:uiPriority w:val="99"/>
    <w:rsid w:val="00E97CA1"/>
    <w:rPr>
      <w:vertAlign w:val="superscript"/>
    </w:rPr>
  </w:style>
  <w:style w:type="paragraph" w:customStyle="1" w:styleId="abstract">
    <w:name w:val="abstract"/>
    <w:basedOn w:val="a"/>
    <w:rsid w:val="00E97CA1"/>
    <w:pPr>
      <w:spacing w:before="240" w:after="240" w:line="240" w:lineRule="auto"/>
      <w:ind w:left="567" w:right="567"/>
      <w:jc w:val="both"/>
    </w:pPr>
    <w:rPr>
      <w:rFonts w:eastAsia="Times New Roman" w:cs="Times New Roman"/>
      <w:i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8A3646"/>
    <w:pPr>
      <w:ind w:left="720"/>
      <w:contextualSpacing/>
    </w:pPr>
  </w:style>
  <w:style w:type="table" w:styleId="a7">
    <w:name w:val="Table Grid"/>
    <w:basedOn w:val="a1"/>
    <w:uiPriority w:val="39"/>
    <w:rsid w:val="00996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E274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8B2A05"/>
    <w:rPr>
      <w:b/>
      <w:bCs/>
    </w:rPr>
  </w:style>
  <w:style w:type="character" w:styleId="aa">
    <w:name w:val="Hyperlink"/>
    <w:basedOn w:val="a0"/>
    <w:uiPriority w:val="99"/>
    <w:unhideWhenUsed/>
    <w:rsid w:val="00475F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19676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none" w:sz="0" w:space="0" w:color="auto"/>
              </w:divBdr>
              <w:divsChild>
                <w:div w:id="20525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6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e.org.pl/en/a-short-introduction-to-patenting-of-animals-and-a-discussion-on-the-legal-morality-of-such-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3116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54&#1082;/96-&#1074;&#1088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2DDEC-8C60-425E-8A96-DC4AE80C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3725</Words>
  <Characters>2124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Контроль якості</cp:lastModifiedBy>
  <cp:revision>2</cp:revision>
  <dcterms:created xsi:type="dcterms:W3CDTF">2025-10-08T11:01:00Z</dcterms:created>
  <dcterms:modified xsi:type="dcterms:W3CDTF">2025-10-08T11:01:00Z</dcterms:modified>
</cp:coreProperties>
</file>