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EAE" w:rsidRPr="00C950A5" w:rsidRDefault="00025EAE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025EAE" w:rsidRPr="00C44B38" w:rsidTr="00C44B38">
        <w:tc>
          <w:tcPr>
            <w:tcW w:w="2978" w:type="dxa"/>
            <w:vMerge w:val="restart"/>
          </w:tcPr>
          <w:p w:rsidR="00025EAE" w:rsidRPr="00C44B38" w:rsidRDefault="002C517A" w:rsidP="00A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102298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0448" w:rsidRPr="00490448">
              <w:rPr>
                <w:rFonts w:ascii="Times New Roman" w:hAnsi="Times New Roman"/>
                <w:b/>
                <w:sz w:val="24"/>
                <w:szCs w:val="24"/>
              </w:rPr>
              <w:t>ІНТЕНСИВНІ ТЕХНОЛОГІЇ ВИРОЩУВАННЯ КОРМОВИХ КУЛЬТУР НА НАСІННЯ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961B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3D7DA5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A4799E" w:rsidRDefault="00025EAE" w:rsidP="00961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99E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1D6E34" w:rsidRPr="00A4799E">
              <w:rPr>
                <w:rFonts w:ascii="Times New Roman" w:hAnsi="Times New Roman"/>
                <w:b/>
                <w:sz w:val="24"/>
                <w:szCs w:val="24"/>
              </w:rPr>
              <w:t xml:space="preserve"> «Агрономія»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рама 201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«Агрономія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D7DA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D7DA5" w:rsidRPr="003D7DA5">
              <w:rPr>
                <w:rFonts w:ascii="Times New Roman" w:hAnsi="Times New Roman"/>
                <w:b/>
                <w:sz w:val="24"/>
                <w:szCs w:val="24"/>
              </w:rPr>
              <w:t>другий (магістерський) рівень освітньо-професійної освіти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1D6E34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Рік </w:t>
            </w:r>
            <w:r w:rsidR="003D7DA5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D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3D7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  денна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96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Pr="00720A76">
              <w:rPr>
                <w:rFonts w:ascii="Times New Roman" w:hAnsi="Times New Roman"/>
                <w:b/>
                <w:sz w:val="24"/>
                <w:szCs w:val="24"/>
              </w:rPr>
              <w:t>українська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5EAE" w:rsidRPr="00C44B38" w:rsidTr="00A55A9E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  <w:vAlign w:val="center"/>
          </w:tcPr>
          <w:p w:rsidR="00025EAE" w:rsidRPr="001D6E34" w:rsidRDefault="000E3A0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Демидась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Григорій Ілліч – доктор с.-г. наук, професор кафедри рослинництва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5EAE" w:rsidRPr="00C44B38" w:rsidTr="00A55A9E">
        <w:tc>
          <w:tcPr>
            <w:tcW w:w="2978" w:type="dxa"/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  <w:vAlign w:val="center"/>
          </w:tcPr>
          <w:p w:rsidR="00025EAE" w:rsidRPr="001D6E34" w:rsidRDefault="000E3A0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demydas</w:t>
            </w:r>
            <w:r w:rsidR="001D6E34" w:rsidRPr="001D6E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@nubip.edu.ua</w:t>
            </w:r>
          </w:p>
        </w:tc>
      </w:tr>
      <w:tr w:rsidR="00025EAE" w:rsidRPr="00C44B38" w:rsidTr="00A55A9E">
        <w:tc>
          <w:tcPr>
            <w:tcW w:w="2978" w:type="dxa"/>
            <w:tcBorders>
              <w:bottom w:val="single" w:sz="4" w:space="0" w:color="auto"/>
            </w:tcBorders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025EAE" w:rsidRPr="000E3A0E" w:rsidRDefault="000E3A0E" w:rsidP="00A6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nubip</w:t>
            </w:r>
            <w:proofErr w:type="spellEnd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course</w:t>
            </w:r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search</w:t>
            </w:r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php</w:t>
            </w:r>
            <w:proofErr w:type="spellEnd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context</w:t>
            </w:r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=93354&amp;</w:t>
            </w:r>
            <w:r w:rsidRPr="000E3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proofErr w:type="spellStart"/>
            <w:r w:rsidRPr="000E3A0E">
              <w:rPr>
                <w:rFonts w:ascii="Times New Roman" w:hAnsi="Times New Roman"/>
                <w:b/>
                <w:sz w:val="24"/>
                <w:szCs w:val="24"/>
              </w:rPr>
              <w:t>Інтенсивні+технології+вирощування+кормових+культур+на+насіння</w:t>
            </w:r>
            <w:proofErr w:type="spellEnd"/>
          </w:p>
        </w:tc>
      </w:tr>
    </w:tbl>
    <w:p w:rsidR="00025EAE" w:rsidRPr="00A71D92" w:rsidRDefault="00025EAE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Pr="00D742E7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1D6E34" w:rsidRDefault="00025EAE" w:rsidP="00E373B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D6E34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490448" w:rsidRPr="00BB5492" w:rsidRDefault="00BB5492" w:rsidP="00D001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492">
        <w:rPr>
          <w:rFonts w:ascii="Times New Roman" w:hAnsi="Times New Roman"/>
          <w:sz w:val="24"/>
          <w:szCs w:val="24"/>
        </w:rPr>
        <w:t xml:space="preserve">У курсі </w:t>
      </w:r>
      <w:r w:rsidRPr="00BB5492">
        <w:rPr>
          <w:rFonts w:ascii="Times New Roman" w:hAnsi="Times New Roman"/>
          <w:color w:val="000000"/>
          <w:spacing w:val="-3"/>
          <w:sz w:val="24"/>
          <w:szCs w:val="24"/>
        </w:rPr>
        <w:t>дисципліни «</w:t>
      </w:r>
      <w:r w:rsidRPr="00BB5492">
        <w:rPr>
          <w:rFonts w:ascii="Times New Roman" w:hAnsi="Times New Roman"/>
          <w:sz w:val="24"/>
          <w:szCs w:val="24"/>
        </w:rPr>
        <w:t>Інтенсивні технології вирощування кормових культур на насіння</w:t>
      </w:r>
      <w:r w:rsidRPr="00BB5492">
        <w:rPr>
          <w:rFonts w:ascii="Times New Roman" w:hAnsi="Times New Roman"/>
          <w:color w:val="000000"/>
          <w:spacing w:val="-3"/>
          <w:sz w:val="24"/>
          <w:szCs w:val="24"/>
        </w:rPr>
        <w:t xml:space="preserve">» 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>подається навчальний матеріал стосовно особливостей вирощуванн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я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на насіння різних класифікаційних груп кормових культур, особливост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ей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проведення технологічних заходів обробітку ґрунту, технології сівби, догляду за насіннєвими посівами, збирання, післязбиральної доробки насіння та зберігання.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Розглядається в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>плив окремих технологічних заходів на посівні якості насіння, методи їх визначення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та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економічн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у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ефективність виробництва насіння кормових культур.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Подається</w:t>
      </w:r>
      <w:r w:rsidRPr="00BB549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робота основних центрів з виробництва та реалізації насіння багаторічних трав, а також вітчизняний і зарубіжний досвід роботи насінницьких господарств</w:t>
      </w:r>
      <w:r w:rsidR="00490448" w:rsidRPr="00BB5492">
        <w:rPr>
          <w:rFonts w:ascii="Times New Roman" w:hAnsi="Times New Roman"/>
          <w:sz w:val="24"/>
          <w:szCs w:val="24"/>
        </w:rPr>
        <w:t xml:space="preserve">.  </w:t>
      </w:r>
    </w:p>
    <w:p w:rsidR="001D6E34" w:rsidRPr="00F21E2C" w:rsidRDefault="001D6E34" w:rsidP="00F21E2C">
      <w:pPr>
        <w:spacing w:after="0" w:line="360" w:lineRule="auto"/>
        <w:ind w:firstLine="709"/>
        <w:rPr>
          <w:rFonts w:ascii="Times New Roman" w:hAnsi="Times New Roman"/>
          <w:b/>
          <w:color w:val="17365D"/>
          <w:sz w:val="24"/>
          <w:szCs w:val="24"/>
        </w:rPr>
      </w:pPr>
      <w:r w:rsidRPr="00F21E2C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:rsidR="00E373B7" w:rsidRPr="00F21E2C" w:rsidRDefault="00E373B7" w:rsidP="00F21E2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F21E2C">
        <w:rPr>
          <w:rStyle w:val="markedcontent"/>
          <w:rFonts w:ascii="Times New Roman" w:hAnsi="Times New Roman"/>
          <w:b/>
          <w:sz w:val="24"/>
          <w:szCs w:val="24"/>
        </w:rPr>
        <w:t>Інтегральна компетентність (ІК):</w:t>
      </w:r>
    </w:p>
    <w:p w:rsidR="00F21E2C" w:rsidRPr="00F21E2C" w:rsidRDefault="00F21E2C" w:rsidP="00F21E2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21E2C">
        <w:rPr>
          <w:rStyle w:val="markedcontent"/>
          <w:rFonts w:ascii="Times New Roman" w:hAnsi="Times New Roman"/>
          <w:sz w:val="24"/>
          <w:szCs w:val="24"/>
        </w:rPr>
        <w:t>ІК. Здатність розв'язувати складні задачі і проблеми у сфері агрономії під час здійснення професійної діяльності або у процесі навчання, що передбачає проведення досліджень та/або здійснення інновацій та характеризується комплексністю та невизначеністю умов.</w:t>
      </w:r>
    </w:p>
    <w:p w:rsidR="00F21E2C" w:rsidRPr="00F21E2C" w:rsidRDefault="00F21E2C" w:rsidP="00F21E2C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1E2C">
        <w:rPr>
          <w:rFonts w:ascii="Times New Roman" w:hAnsi="Times New Roman"/>
          <w:b/>
          <w:bCs/>
          <w:sz w:val="24"/>
          <w:szCs w:val="24"/>
        </w:rPr>
        <w:t>Загальні компетентності (ЗК):</w:t>
      </w:r>
    </w:p>
    <w:p w:rsidR="00F21E2C" w:rsidRPr="00F21E2C" w:rsidRDefault="00F21E2C" w:rsidP="00F21E2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E2C">
        <w:rPr>
          <w:rFonts w:ascii="Times New Roman" w:hAnsi="Times New Roman"/>
          <w:b/>
          <w:sz w:val="24"/>
          <w:szCs w:val="24"/>
        </w:rPr>
        <w:t xml:space="preserve">ЗК 5. </w:t>
      </w:r>
      <w:r w:rsidRPr="00F21E2C">
        <w:rPr>
          <w:rFonts w:ascii="Times New Roman" w:hAnsi="Times New Roman"/>
          <w:bCs/>
          <w:sz w:val="24"/>
          <w:szCs w:val="24"/>
        </w:rPr>
        <w:t xml:space="preserve">Здатність розробляти </w:t>
      </w:r>
      <w:proofErr w:type="spellStart"/>
      <w:r w:rsidRPr="00F21E2C">
        <w:rPr>
          <w:rFonts w:ascii="Times New Roman" w:hAnsi="Times New Roman"/>
          <w:bCs/>
          <w:sz w:val="24"/>
          <w:szCs w:val="24"/>
        </w:rPr>
        <w:t>проєкти</w:t>
      </w:r>
      <w:proofErr w:type="spellEnd"/>
      <w:r w:rsidRPr="00F21E2C">
        <w:rPr>
          <w:rFonts w:ascii="Times New Roman" w:hAnsi="Times New Roman"/>
          <w:bCs/>
          <w:sz w:val="24"/>
          <w:szCs w:val="24"/>
        </w:rPr>
        <w:t xml:space="preserve"> та управляти ними</w:t>
      </w:r>
    </w:p>
    <w:p w:rsidR="00F21E2C" w:rsidRPr="00F21E2C" w:rsidRDefault="00F21E2C" w:rsidP="00F21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E2C">
        <w:rPr>
          <w:rFonts w:ascii="Times New Roman" w:hAnsi="Times New Roman"/>
          <w:b/>
          <w:sz w:val="24"/>
          <w:szCs w:val="24"/>
        </w:rPr>
        <w:t>Фахові (спеціальні) компетентності (ФК):</w:t>
      </w:r>
      <w:r w:rsidRPr="00F21E2C">
        <w:rPr>
          <w:rFonts w:ascii="Times New Roman" w:hAnsi="Times New Roman"/>
          <w:sz w:val="24"/>
          <w:szCs w:val="24"/>
        </w:rPr>
        <w:t xml:space="preserve"> </w:t>
      </w:r>
    </w:p>
    <w:p w:rsidR="00F21E2C" w:rsidRPr="00F21E2C" w:rsidRDefault="00F21E2C" w:rsidP="00F21E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1E2C">
        <w:rPr>
          <w:rFonts w:ascii="Times New Roman" w:hAnsi="Times New Roman"/>
          <w:b/>
          <w:sz w:val="24"/>
          <w:szCs w:val="24"/>
        </w:rPr>
        <w:lastRenderedPageBreak/>
        <w:t>СК 4.</w:t>
      </w:r>
      <w:r w:rsidRPr="00F21E2C">
        <w:rPr>
          <w:rFonts w:ascii="Times New Roman" w:hAnsi="Times New Roman"/>
          <w:sz w:val="24"/>
          <w:szCs w:val="24"/>
        </w:rPr>
        <w:t xml:space="preserve"> Здатність оцінювати придатність земель для вирощування сільськогосподарських культур з урахуванням вимог щодо забезпечення кількості та якості продукції</w:t>
      </w:r>
    </w:p>
    <w:p w:rsidR="00F21E2C" w:rsidRPr="00F21E2C" w:rsidRDefault="00F21E2C" w:rsidP="00F21E2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E2C">
        <w:rPr>
          <w:rFonts w:ascii="Times New Roman" w:hAnsi="Times New Roman"/>
          <w:b/>
          <w:sz w:val="24"/>
          <w:szCs w:val="24"/>
        </w:rPr>
        <w:t xml:space="preserve">Програмні результати навчання (РН): </w:t>
      </w:r>
    </w:p>
    <w:p w:rsidR="00F21E2C" w:rsidRPr="00F21E2C" w:rsidRDefault="00F21E2C" w:rsidP="00F21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E2C">
        <w:rPr>
          <w:rFonts w:ascii="Times New Roman" w:hAnsi="Times New Roman"/>
          <w:b/>
          <w:bCs/>
          <w:sz w:val="24"/>
          <w:szCs w:val="24"/>
        </w:rPr>
        <w:t>РН 3</w:t>
      </w:r>
      <w:r w:rsidRPr="00F21E2C">
        <w:rPr>
          <w:rFonts w:ascii="Times New Roman" w:hAnsi="Times New Roman"/>
          <w:sz w:val="24"/>
          <w:szCs w:val="24"/>
        </w:rPr>
        <w:t xml:space="preserve">. Розробляти і реалізовувати економічно значущі виробничі і дослідницькі </w:t>
      </w:r>
      <w:proofErr w:type="spellStart"/>
      <w:r w:rsidRPr="00F21E2C">
        <w:rPr>
          <w:rFonts w:ascii="Times New Roman" w:hAnsi="Times New Roman"/>
          <w:sz w:val="24"/>
          <w:szCs w:val="24"/>
        </w:rPr>
        <w:t>проєкти</w:t>
      </w:r>
      <w:proofErr w:type="spellEnd"/>
      <w:r w:rsidRPr="00F21E2C">
        <w:rPr>
          <w:rFonts w:ascii="Times New Roman" w:hAnsi="Times New Roman"/>
          <w:sz w:val="24"/>
          <w:szCs w:val="24"/>
        </w:rPr>
        <w:t xml:space="preserve"> в сфері агрономії з урахуванням наявних ресурсів та обмежень, технічних, соціальних, правових та екологічних аспектів.</w:t>
      </w:r>
    </w:p>
    <w:p w:rsidR="00025EAE" w:rsidRPr="005222F2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5"/>
        <w:gridCol w:w="1417"/>
        <w:gridCol w:w="2552"/>
        <w:gridCol w:w="1418"/>
        <w:gridCol w:w="775"/>
        <w:gridCol w:w="20"/>
        <w:gridCol w:w="10"/>
      </w:tblGrid>
      <w:tr w:rsidR="00025EAE" w:rsidRPr="005B5192" w:rsidTr="00BD3C9B">
        <w:trPr>
          <w:gridAfter w:val="2"/>
          <w:wAfter w:w="29" w:type="dxa"/>
          <w:trHeight w:val="998"/>
        </w:trPr>
        <w:tc>
          <w:tcPr>
            <w:tcW w:w="3256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</w:p>
          <w:p w:rsidR="00CC5B9B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(лекції/</w:t>
            </w:r>
          </w:p>
          <w:p w:rsidR="00025EAE" w:rsidRPr="005B5192" w:rsidRDefault="005C6219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="00025EAE" w:rsidRPr="005B51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18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775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Оціню</w:t>
            </w:r>
            <w:proofErr w:type="spellEnd"/>
            <w:r w:rsidR="00522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025EAE" w:rsidRPr="005B5192" w:rsidTr="00BD3C9B">
        <w:trPr>
          <w:trHeight w:val="422"/>
        </w:trPr>
        <w:tc>
          <w:tcPr>
            <w:tcW w:w="9447" w:type="dxa"/>
            <w:gridSpan w:val="7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EF7050" w:rsidRPr="005B5192" w:rsidTr="00BD3C9B">
        <w:trPr>
          <w:gridAfter w:val="2"/>
          <w:wAfter w:w="29" w:type="dxa"/>
          <w:trHeight w:val="571"/>
        </w:trPr>
        <w:tc>
          <w:tcPr>
            <w:tcW w:w="3256" w:type="dxa"/>
          </w:tcPr>
          <w:p w:rsidR="00EF7050" w:rsidRPr="00AF1A3D" w:rsidRDefault="00EF7050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Організація ведення насінництва трав в Україні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F67068" w:rsidRPr="00F67068" w:rsidRDefault="00F67068" w:rsidP="00F67068">
            <w:pPr>
              <w:pStyle w:val="a7"/>
              <w:tabs>
                <w:tab w:val="left" w:pos="324"/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>Здатність добирати види та сорти трав для ефективного ведення насінництва в конкретних ґрунтово-кліматичних зонах України з урахуванням  вимог до їх посівних якостей;</w:t>
            </w:r>
          </w:p>
          <w:p w:rsidR="00F67068" w:rsidRPr="00F67068" w:rsidRDefault="00F67068" w:rsidP="00F67068">
            <w:pPr>
              <w:pStyle w:val="a7"/>
              <w:tabs>
                <w:tab w:val="left" w:pos="324"/>
                <w:tab w:val="left" w:pos="4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 xml:space="preserve">Здатність використовувати професійні знання й практичні навички та наукові рекомендації для організації насінників кормових трав; </w:t>
            </w:r>
          </w:p>
          <w:p w:rsidR="00F67068" w:rsidRPr="00F67068" w:rsidRDefault="00F67068" w:rsidP="00F67068">
            <w:pPr>
              <w:pStyle w:val="a7"/>
              <w:tabs>
                <w:tab w:val="left" w:pos="324"/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>Здатність обґрунтовувати вибір та розробляти ефективні технологічні заходи підвищення продуктивності насінників;</w:t>
            </w:r>
          </w:p>
          <w:p w:rsidR="00F67068" w:rsidRPr="00F67068" w:rsidRDefault="00F67068" w:rsidP="00F67068">
            <w:pPr>
              <w:pStyle w:val="a7"/>
              <w:tabs>
                <w:tab w:val="left" w:pos="324"/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>Здатність організовувати комплексне багатоцільове використання травостоїв насінників (на насіння чи корм);</w:t>
            </w:r>
          </w:p>
          <w:p w:rsidR="00F67068" w:rsidRPr="00F67068" w:rsidRDefault="00F67068" w:rsidP="00F67068">
            <w:pPr>
              <w:pStyle w:val="a7"/>
              <w:tabs>
                <w:tab w:val="left" w:pos="324"/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>Здатність трактувати та використовувати у виробничій діяльності міжнародні і національні нормативні документи в галузі насінництва;</w:t>
            </w:r>
          </w:p>
          <w:p w:rsidR="00EF7050" w:rsidRPr="00F67068" w:rsidRDefault="00F67068" w:rsidP="00F67068">
            <w:pPr>
              <w:pStyle w:val="a7"/>
              <w:tabs>
                <w:tab w:val="left" w:pos="324"/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F67068">
              <w:rPr>
                <w:rFonts w:ascii="Times New Roman" w:hAnsi="Times New Roman"/>
                <w:sz w:val="20"/>
                <w:szCs w:val="20"/>
              </w:rPr>
              <w:t>Здатність забезпечити сучасний досвід щодо організації очищення, сушіння та зберігання насіння трав.</w:t>
            </w:r>
          </w:p>
        </w:tc>
        <w:tc>
          <w:tcPr>
            <w:tcW w:w="1418" w:type="dxa"/>
            <w:vMerge w:val="restart"/>
          </w:tcPr>
          <w:p w:rsidR="00EF7050" w:rsidRPr="00FD73AD" w:rsidRDefault="00EF7050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EF7050" w:rsidRPr="00FD73AD" w:rsidRDefault="00EF7050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3AD">
              <w:rPr>
                <w:rFonts w:ascii="Times New Roman" w:hAnsi="Times New Roman"/>
                <w:sz w:val="20"/>
                <w:szCs w:val="20"/>
              </w:rPr>
              <w:t xml:space="preserve">Наявність заповненого завдання в зошиті для лабораторних робіт і надсилання електронного файлу з виконаними завданнями до ЕНК через систему </w:t>
            </w:r>
            <w:proofErr w:type="spellStart"/>
            <w:r w:rsidRPr="00FD73A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FD73AD">
              <w:rPr>
                <w:rFonts w:ascii="Times New Roman" w:hAnsi="Times New Roman"/>
                <w:sz w:val="20"/>
                <w:szCs w:val="20"/>
              </w:rPr>
              <w:t>. Письмові та усні відповіді на запитання до практичної роботи.</w:t>
            </w:r>
          </w:p>
        </w:tc>
        <w:tc>
          <w:tcPr>
            <w:tcW w:w="775" w:type="dxa"/>
            <w:vAlign w:val="center"/>
          </w:tcPr>
          <w:p w:rsidR="00EF7050" w:rsidRDefault="00EF7050" w:rsidP="00F67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861"/>
        </w:trPr>
        <w:tc>
          <w:tcPr>
            <w:tcW w:w="3256" w:type="dxa"/>
          </w:tcPr>
          <w:p w:rsidR="00EF7050" w:rsidRPr="00AF1A3D" w:rsidRDefault="00EF7050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Підбір видів і сортів трав для закладання насінників. Якість насіннєвого матеріалу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598"/>
        </w:trPr>
        <w:tc>
          <w:tcPr>
            <w:tcW w:w="3256" w:type="dxa"/>
          </w:tcPr>
          <w:p w:rsidR="00EF7050" w:rsidRPr="00AF1A3D" w:rsidRDefault="00EF7050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Технологія закладання насінників трав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961B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785"/>
        </w:trPr>
        <w:tc>
          <w:tcPr>
            <w:tcW w:w="3256" w:type="dxa"/>
          </w:tcPr>
          <w:p w:rsidR="00EF7050" w:rsidRPr="00AF1A3D" w:rsidRDefault="00EF7050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Особливості догляду за насінниками кормових трав  у рік сівби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961B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838"/>
        </w:trPr>
        <w:tc>
          <w:tcPr>
            <w:tcW w:w="3256" w:type="dxa"/>
          </w:tcPr>
          <w:p w:rsidR="00EF7050" w:rsidRPr="00AF1A3D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F1A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Удобрення, міжрядний обробіток, боронування  та боротьба з бур’янами</w:t>
            </w:r>
            <w:r w:rsidRPr="00AF1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968"/>
        </w:trPr>
        <w:tc>
          <w:tcPr>
            <w:tcW w:w="3256" w:type="dxa"/>
          </w:tcPr>
          <w:p w:rsidR="00EF7050" w:rsidRPr="00AF1A3D" w:rsidRDefault="00EF7050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F1A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Боротьба з шкідниками та хворобами трав,  додаткове запилення насінників трав  та скошування післяжнивних решток і отави</w:t>
            </w:r>
            <w:r w:rsidRPr="00AF1A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F7050" w:rsidRPr="005B5192" w:rsidRDefault="00EF7050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Pr="005B5192" w:rsidRDefault="00EF7050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855"/>
        </w:trPr>
        <w:tc>
          <w:tcPr>
            <w:tcW w:w="3256" w:type="dxa"/>
            <w:vAlign w:val="center"/>
          </w:tcPr>
          <w:p w:rsidR="00EF7050" w:rsidRPr="005C6219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7. Вирощування на насіння Метеликових (бобових) багаторічних трав</w:t>
            </w:r>
          </w:p>
        </w:tc>
        <w:tc>
          <w:tcPr>
            <w:tcW w:w="1417" w:type="dxa"/>
            <w:vAlign w:val="center"/>
          </w:tcPr>
          <w:p w:rsidR="00EF7050" w:rsidRDefault="00EF7050" w:rsidP="005C6219">
            <w:pPr>
              <w:jc w:val="center"/>
            </w:pPr>
            <w:r w:rsidRPr="00C06415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F7050" w:rsidRPr="005B5192" w:rsidTr="00BD3C9B">
        <w:trPr>
          <w:gridAfter w:val="2"/>
          <w:wAfter w:w="29" w:type="dxa"/>
          <w:trHeight w:val="727"/>
        </w:trPr>
        <w:tc>
          <w:tcPr>
            <w:tcW w:w="3256" w:type="dxa"/>
            <w:vAlign w:val="center"/>
          </w:tcPr>
          <w:p w:rsidR="00EF7050" w:rsidRPr="005C6219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8.  Вирощування на насіння Злакових (</w:t>
            </w:r>
            <w:proofErr w:type="spellStart"/>
            <w:r w:rsidRPr="005C6219">
              <w:rPr>
                <w:rFonts w:ascii="Times New Roman" w:hAnsi="Times New Roman"/>
                <w:sz w:val="20"/>
                <w:szCs w:val="20"/>
              </w:rPr>
              <w:t>тонконогових</w:t>
            </w:r>
            <w:proofErr w:type="spellEnd"/>
            <w:r w:rsidRPr="005C6219">
              <w:rPr>
                <w:rFonts w:ascii="Times New Roman" w:hAnsi="Times New Roman"/>
                <w:sz w:val="20"/>
                <w:szCs w:val="20"/>
              </w:rPr>
              <w:t>) багаторічних трави</w:t>
            </w:r>
          </w:p>
        </w:tc>
        <w:tc>
          <w:tcPr>
            <w:tcW w:w="1417" w:type="dxa"/>
            <w:vAlign w:val="center"/>
          </w:tcPr>
          <w:p w:rsidR="00EF7050" w:rsidRDefault="00EF7050" w:rsidP="005C6219">
            <w:pPr>
              <w:jc w:val="center"/>
            </w:pPr>
            <w:r w:rsidRPr="00C06415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F7050" w:rsidRPr="005B5192" w:rsidTr="00BD3C9B">
        <w:trPr>
          <w:gridAfter w:val="2"/>
          <w:wAfter w:w="29" w:type="dxa"/>
          <w:trHeight w:val="643"/>
        </w:trPr>
        <w:tc>
          <w:tcPr>
            <w:tcW w:w="3256" w:type="dxa"/>
            <w:vAlign w:val="center"/>
          </w:tcPr>
          <w:p w:rsidR="00EF7050" w:rsidRPr="005C6219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9. Вирощування на насіння однорічних кормових культур</w:t>
            </w:r>
          </w:p>
        </w:tc>
        <w:tc>
          <w:tcPr>
            <w:tcW w:w="1417" w:type="dxa"/>
            <w:vAlign w:val="center"/>
          </w:tcPr>
          <w:p w:rsidR="00EF7050" w:rsidRDefault="00EF7050" w:rsidP="005C6219">
            <w:pPr>
              <w:jc w:val="center"/>
            </w:pPr>
            <w:r w:rsidRPr="00C06415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531"/>
        </w:trPr>
        <w:tc>
          <w:tcPr>
            <w:tcW w:w="3256" w:type="dxa"/>
            <w:vAlign w:val="center"/>
          </w:tcPr>
          <w:p w:rsidR="00EF7050" w:rsidRPr="005C6219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10. Малопоширені кормові культури</w:t>
            </w:r>
          </w:p>
        </w:tc>
        <w:tc>
          <w:tcPr>
            <w:tcW w:w="1417" w:type="dxa"/>
            <w:vAlign w:val="center"/>
          </w:tcPr>
          <w:p w:rsidR="00EF7050" w:rsidRDefault="00EF7050" w:rsidP="005C6219">
            <w:pPr>
              <w:jc w:val="center"/>
            </w:pPr>
            <w:r w:rsidRPr="00C06415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552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7050" w:rsidRPr="005B5192" w:rsidTr="00BD3C9B">
        <w:trPr>
          <w:gridAfter w:val="2"/>
          <w:wAfter w:w="29" w:type="dxa"/>
          <w:trHeight w:val="968"/>
        </w:trPr>
        <w:tc>
          <w:tcPr>
            <w:tcW w:w="3256" w:type="dxa"/>
            <w:vAlign w:val="center"/>
          </w:tcPr>
          <w:p w:rsidR="00EF7050" w:rsidRPr="005C6219" w:rsidRDefault="00EF7050" w:rsidP="005C6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A3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5C6219">
              <w:rPr>
                <w:rFonts w:ascii="Times New Roman" w:hAnsi="Times New Roman"/>
                <w:sz w:val="20"/>
                <w:szCs w:val="20"/>
              </w:rPr>
              <w:t>11. Строки і способи збирання насінників трав.  Машини, обладнання для збирання насінників  трав та первинна його обробка</w:t>
            </w:r>
          </w:p>
        </w:tc>
        <w:tc>
          <w:tcPr>
            <w:tcW w:w="1417" w:type="dxa"/>
            <w:vAlign w:val="center"/>
          </w:tcPr>
          <w:p w:rsidR="00EF7050" w:rsidRDefault="00EF7050" w:rsidP="005C62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4/4</w:t>
            </w:r>
          </w:p>
        </w:tc>
        <w:tc>
          <w:tcPr>
            <w:tcW w:w="2552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050" w:rsidRPr="005B5192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F7050" w:rsidRDefault="00EF7050" w:rsidP="005C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6219" w:rsidRPr="005B5192" w:rsidTr="00BD3C9B">
        <w:trPr>
          <w:gridAfter w:val="1"/>
          <w:wAfter w:w="10" w:type="dxa"/>
        </w:trPr>
        <w:tc>
          <w:tcPr>
            <w:tcW w:w="8642" w:type="dxa"/>
            <w:gridSpan w:val="4"/>
          </w:tcPr>
          <w:p w:rsidR="005C6219" w:rsidRPr="005B5192" w:rsidRDefault="005C6219" w:rsidP="005C6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795" w:type="dxa"/>
            <w:gridSpan w:val="2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5C6219" w:rsidRPr="005B5192" w:rsidTr="00BD3C9B">
        <w:trPr>
          <w:gridAfter w:val="2"/>
          <w:wAfter w:w="29" w:type="dxa"/>
        </w:trPr>
        <w:tc>
          <w:tcPr>
            <w:tcW w:w="3256" w:type="dxa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  <w:tr w:rsidR="005C6219" w:rsidRPr="005B5192" w:rsidTr="00BD3C9B">
        <w:trPr>
          <w:gridAfter w:val="1"/>
          <w:wAfter w:w="10" w:type="dxa"/>
        </w:trPr>
        <w:tc>
          <w:tcPr>
            <w:tcW w:w="8642" w:type="dxa"/>
            <w:gridSpan w:val="4"/>
          </w:tcPr>
          <w:p w:rsidR="005C6219" w:rsidRPr="005B5192" w:rsidRDefault="005C6219" w:rsidP="005C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795" w:type="dxa"/>
            <w:gridSpan w:val="2"/>
          </w:tcPr>
          <w:p w:rsidR="005C6219" w:rsidRPr="005B5192" w:rsidRDefault="005C6219" w:rsidP="005C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025EAE" w:rsidRPr="00A71D92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192" w:rsidRPr="00522136" w:rsidRDefault="005B5192" w:rsidP="00522136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lastRenderedPageBreak/>
        <w:t>ПОЛІТИКА ОЦІНЮВАННЯ</w:t>
      </w:r>
    </w:p>
    <w:p w:rsidR="005B5192" w:rsidRP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25EAE" w:rsidRPr="009F1C3C" w:rsidRDefault="00025EAE" w:rsidP="00BC6F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A71D92" w:rsidRDefault="00025EAE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EAE" w:rsidRDefault="00025EAE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5B5192" w:rsidRPr="005B5192" w:rsidRDefault="005B5192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025EAE" w:rsidRPr="00C44B38" w:rsidTr="00C44B38">
        <w:tc>
          <w:tcPr>
            <w:tcW w:w="2376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25EAE" w:rsidRPr="00C44B38" w:rsidTr="00C44B38">
        <w:tc>
          <w:tcPr>
            <w:tcW w:w="2376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025EAE" w:rsidRDefault="00025EAE" w:rsidP="007C3A37">
      <w:pPr>
        <w:spacing w:after="0" w:line="360" w:lineRule="auto"/>
        <w:rPr>
          <w:lang w:val="en-US"/>
        </w:rPr>
      </w:pPr>
    </w:p>
    <w:p w:rsidR="007C3A37" w:rsidRPr="00174159" w:rsidRDefault="007C3A37" w:rsidP="0017415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74159">
        <w:rPr>
          <w:rFonts w:ascii="Times New Roman" w:hAnsi="Times New Roman"/>
          <w:b/>
          <w:color w:val="17365D"/>
          <w:sz w:val="24"/>
          <w:szCs w:val="24"/>
        </w:rPr>
        <w:t>РЕКОМЕНДОВАНІ ДЖЕРЕЛА ІНФОРМАЦІЇ</w:t>
      </w:r>
    </w:p>
    <w:p w:rsidR="000603EC" w:rsidRPr="00174159" w:rsidRDefault="00174159" w:rsidP="00174159">
      <w:pPr>
        <w:pStyle w:val="a8"/>
        <w:tabs>
          <w:tab w:val="left" w:pos="993"/>
        </w:tabs>
        <w:spacing w:line="360" w:lineRule="auto"/>
        <w:ind w:firstLine="709"/>
        <w:jc w:val="center"/>
        <w:rPr>
          <w:b/>
        </w:rPr>
      </w:pPr>
      <w:r>
        <w:rPr>
          <w:b/>
          <w:lang w:val="uk-UA"/>
        </w:rPr>
        <w:t>О</w:t>
      </w:r>
      <w:proofErr w:type="spellStart"/>
      <w:r w:rsidR="000603EC" w:rsidRPr="00174159">
        <w:rPr>
          <w:b/>
        </w:rPr>
        <w:t>сновна</w:t>
      </w:r>
      <w:proofErr w:type="spellEnd"/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Гончаренко В. К., Макаренко П. С. Виробництво насіння кормових культур і поліпшення лук. Київ : Урожай, 1992. 104 с.</w:t>
      </w:r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A4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Г.І. Слюсар І.Т. </w:t>
      </w:r>
      <w:proofErr w:type="spellStart"/>
      <w:r w:rsidRPr="002E19A4">
        <w:rPr>
          <w:rFonts w:ascii="Times New Roman" w:hAnsi="Times New Roman"/>
          <w:sz w:val="24"/>
          <w:szCs w:val="24"/>
        </w:rPr>
        <w:t>Полторецький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С.П. та ін. Насінництво багаторічних та однорічних кормових культур. Київ : НУБіП України, 2018. 232 с.</w:t>
      </w:r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Макаренко П.І. та ін. Луківництво. Київ: НУБІП України. 2015. 350 с.</w:t>
      </w:r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Петриченко В.Ф., Бугайов В.Д., Колісник С.І. та ін. Технології вирощування багаторічних трав на насіння. Вінниця : ФОП Данилюк В.Г. 2008. 48 с.</w:t>
      </w:r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Петриченко В.Ф., Макаренко П.С.. Лучне </w:t>
      </w:r>
      <w:proofErr w:type="spellStart"/>
      <w:r w:rsidRPr="002E19A4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і насінництво трав. Вінниця: Діло. 2005. 227 с.</w:t>
      </w:r>
    </w:p>
    <w:p w:rsidR="002E19A4" w:rsidRPr="002E19A4" w:rsidRDefault="002E19A4" w:rsidP="002E19A4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Слюсар І. Г., </w:t>
      </w:r>
      <w:proofErr w:type="spellStart"/>
      <w:r w:rsidRPr="002E19A4">
        <w:rPr>
          <w:rFonts w:ascii="Times New Roman" w:hAnsi="Times New Roman"/>
          <w:sz w:val="24"/>
          <w:szCs w:val="24"/>
        </w:rPr>
        <w:t>Вергунов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В. А., Гаврилюк М. М. Луківництво з основами насінництва. Київ : Аграрна наука. 2001. 196 с.</w:t>
      </w:r>
    </w:p>
    <w:p w:rsidR="002E19A4" w:rsidRPr="002E19A4" w:rsidRDefault="002E19A4" w:rsidP="002E19A4">
      <w:pPr>
        <w:widowControl w:val="0"/>
        <w:tabs>
          <w:tab w:val="left" w:pos="993"/>
        </w:tabs>
        <w:suppressAutoHyphens/>
        <w:autoSpaceDE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2E19A4" w:rsidRPr="002E19A4" w:rsidRDefault="002E19A4" w:rsidP="002E19A4">
      <w:pPr>
        <w:widowControl w:val="0"/>
        <w:tabs>
          <w:tab w:val="left" w:pos="993"/>
        </w:tabs>
        <w:suppressAutoHyphens/>
        <w:autoSpaceDE w:val="0"/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9A4">
        <w:rPr>
          <w:rFonts w:ascii="Times New Roman" w:hAnsi="Times New Roman"/>
          <w:b/>
          <w:bCs/>
          <w:sz w:val="24"/>
          <w:szCs w:val="24"/>
        </w:rPr>
        <w:t>Додаткова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A4">
        <w:rPr>
          <w:rFonts w:ascii="Times New Roman" w:hAnsi="Times New Roman"/>
          <w:sz w:val="24"/>
          <w:szCs w:val="24"/>
        </w:rPr>
        <w:t>Анеляк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М.М., Твердохліб І.В., </w:t>
      </w:r>
      <w:proofErr w:type="spellStart"/>
      <w:r w:rsidRPr="002E19A4">
        <w:rPr>
          <w:rFonts w:ascii="Times New Roman" w:hAnsi="Times New Roman"/>
          <w:sz w:val="24"/>
          <w:szCs w:val="24"/>
        </w:rPr>
        <w:t>Спірін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А.В., Кузьмич А.Я., </w:t>
      </w:r>
      <w:proofErr w:type="spellStart"/>
      <w:r w:rsidRPr="002E19A4">
        <w:rPr>
          <w:rFonts w:ascii="Times New Roman" w:hAnsi="Times New Roman"/>
          <w:sz w:val="24"/>
          <w:szCs w:val="24"/>
        </w:rPr>
        <w:t>Кустов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С.О. Основні підходи до обґрунтування технологічних рішень процесу обмолоту, витирання та сепарації насіння бобових трав. Промислова гідравліка та пневматика. 2012. №1 (35). С. 15-18.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Антонів С. Ф. Агроекологічні та технологічні аспекти ефективності насінництва багаторічних трав в Україні. Вісник Кримського агротехнологічного університету. Сімферополь. 2008. </w:t>
      </w:r>
      <w:proofErr w:type="spellStart"/>
      <w:r w:rsidRPr="002E19A4">
        <w:rPr>
          <w:rFonts w:ascii="Times New Roman" w:hAnsi="Times New Roman"/>
          <w:sz w:val="24"/>
          <w:szCs w:val="24"/>
        </w:rPr>
        <w:t>Вип</w:t>
      </w:r>
      <w:proofErr w:type="spellEnd"/>
      <w:r w:rsidRPr="002E19A4">
        <w:rPr>
          <w:rFonts w:ascii="Times New Roman" w:hAnsi="Times New Roman"/>
          <w:sz w:val="24"/>
          <w:szCs w:val="24"/>
        </w:rPr>
        <w:t>. 107. С. 235-238.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Антонів С. Ф. Насінництво злакових трав / С. Ф. Антонів // Насінництво. – 2005. – № 11. – С. 7 – 18.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Антонів С. Ф., Колісник С. І., </w:t>
      </w:r>
      <w:hyperlink r:id="rId6" w:tgtFrame="_blank" w:history="1">
        <w:r w:rsidRPr="002E19A4">
          <w:rPr>
            <w:rFonts w:ascii="Times New Roman" w:hAnsi="Times New Roman"/>
            <w:sz w:val="24"/>
            <w:szCs w:val="24"/>
          </w:rPr>
          <w:t xml:space="preserve"> Фостолович</w:t>
        </w:r>
      </w:hyperlink>
      <w:r w:rsidRPr="002E19A4">
        <w:rPr>
          <w:rFonts w:ascii="Times New Roman" w:hAnsi="Times New Roman"/>
          <w:sz w:val="24"/>
          <w:szCs w:val="24"/>
        </w:rPr>
        <w:t xml:space="preserve"> С. І.,   </w:t>
      </w:r>
      <w:proofErr w:type="spellStart"/>
      <w:r w:rsidRPr="002E19A4">
        <w:rPr>
          <w:rFonts w:ascii="Times New Roman" w:hAnsi="Times New Roman"/>
          <w:sz w:val="24"/>
          <w:szCs w:val="24"/>
        </w:rPr>
        <w:t>Запрута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О. А., </w:t>
      </w:r>
      <w:proofErr w:type="spellStart"/>
      <w:r w:rsidRPr="002E19A4">
        <w:rPr>
          <w:rFonts w:ascii="Times New Roman" w:hAnsi="Times New Roman"/>
          <w:sz w:val="24"/>
          <w:szCs w:val="24"/>
        </w:rPr>
        <w:t>Коновальчук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2E19A4">
        <w:rPr>
          <w:rFonts w:ascii="Times New Roman" w:hAnsi="Times New Roman"/>
          <w:sz w:val="24"/>
          <w:szCs w:val="24"/>
        </w:rPr>
        <w:t>Клочанюк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А. В. Агроекологічні аспекти технології вирощування насіння нових сортів бобових трав в умовах Лісостепу та Полісся України. 2018. Інтернет-ресурс: </w:t>
      </w:r>
      <w:hyperlink r:id="rId7" w:history="1">
        <w:r w:rsidRPr="002E19A4">
          <w:rPr>
            <w:rStyle w:val="a6"/>
            <w:rFonts w:ascii="Times New Roman" w:hAnsi="Times New Roman"/>
            <w:sz w:val="24"/>
            <w:szCs w:val="24"/>
          </w:rPr>
          <w:t>http://agrostore.biz.ua/agroekologichni-aspekti-texnologiї-viroshhuvannya-nasinnya-novix-</w:t>
        </w:r>
        <w:r w:rsidRPr="002E19A4">
          <w:rPr>
            <w:rStyle w:val="a6"/>
            <w:rFonts w:ascii="Times New Roman" w:hAnsi="Times New Roman"/>
            <w:sz w:val="24"/>
            <w:szCs w:val="24"/>
          </w:rPr>
          <w:lastRenderedPageBreak/>
          <w:t>sortiv-bobovix-trav-v-umovax-lisostepu-ta-polissya-ukraїni/</w:t>
        </w:r>
      </w:hyperlink>
      <w:r w:rsidRPr="002E19A4">
        <w:rPr>
          <w:rFonts w:ascii="Times New Roman" w:hAnsi="Times New Roman"/>
          <w:sz w:val="24"/>
          <w:szCs w:val="24"/>
        </w:rPr>
        <w:t xml:space="preserve"> 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Антонів С.Ф., </w:t>
      </w:r>
      <w:proofErr w:type="spellStart"/>
      <w:r w:rsidRPr="002E19A4">
        <w:rPr>
          <w:rFonts w:ascii="Times New Roman" w:hAnsi="Times New Roman"/>
          <w:sz w:val="24"/>
          <w:szCs w:val="24"/>
        </w:rPr>
        <w:t>Запрута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О.А., Рудницький Б.О. Особливості </w:t>
      </w:r>
      <w:proofErr w:type="spellStart"/>
      <w:r w:rsidRPr="002E19A4">
        <w:rPr>
          <w:rFonts w:ascii="Times New Roman" w:hAnsi="Times New Roman"/>
          <w:sz w:val="24"/>
          <w:szCs w:val="24"/>
        </w:rPr>
        <w:t>технолггії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вирощування насіння нових та перспективних сортів бобових трав в умовах Лісостепу України. Сільське господарство та лісівництво. 2017. №7. С. 70-76.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Бугайов В.В. Хімічний склад та фізико-механічні властивості насіння злакових багаторічних трав, як чинник його довговічності. Насінництво і насіннєзнавство. 2016. №109. С. 131-139.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Василенко Н. Є., </w:t>
      </w:r>
      <w:proofErr w:type="spellStart"/>
      <w:r w:rsidRPr="002E19A4">
        <w:rPr>
          <w:rFonts w:ascii="Times New Roman" w:hAnsi="Times New Roman"/>
          <w:sz w:val="24"/>
          <w:szCs w:val="24"/>
        </w:rPr>
        <w:t>Аверчев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О.В. Формування врожаю насіння низових злакових трав та його посівних якостей залежно від строків його збирання. Таврійський вісник, 2019 р. № 108. Херсон. С. 3-11.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Василенко Н. Є., Антонів С. Ф., Колісник С. І., </w:t>
      </w:r>
      <w:proofErr w:type="spellStart"/>
      <w:r w:rsidRPr="002E19A4">
        <w:rPr>
          <w:rFonts w:ascii="Times New Roman" w:hAnsi="Times New Roman"/>
          <w:sz w:val="24"/>
          <w:szCs w:val="24"/>
        </w:rPr>
        <w:t>Коновальчук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2E19A4">
        <w:rPr>
          <w:rFonts w:ascii="Times New Roman" w:hAnsi="Times New Roman"/>
          <w:sz w:val="24"/>
          <w:szCs w:val="24"/>
        </w:rPr>
        <w:t>Запрута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О. А., </w:t>
      </w:r>
      <w:proofErr w:type="spellStart"/>
      <w:r w:rsidRPr="002E19A4">
        <w:rPr>
          <w:rFonts w:ascii="Times New Roman" w:hAnsi="Times New Roman"/>
          <w:sz w:val="24"/>
          <w:szCs w:val="24"/>
        </w:rPr>
        <w:t>Фостолович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С. І., </w:t>
      </w:r>
      <w:proofErr w:type="spellStart"/>
      <w:r w:rsidRPr="002E19A4">
        <w:rPr>
          <w:rFonts w:ascii="Times New Roman" w:hAnsi="Times New Roman"/>
          <w:sz w:val="24"/>
          <w:szCs w:val="24"/>
        </w:rPr>
        <w:t>Клочанюк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А. В. Вплив строків збирання на насіннєву продуктивність та посівні якості насіння низових злакових трав. 2018. Інтернет-ресурс: </w:t>
      </w:r>
      <w:hyperlink r:id="rId8" w:history="1">
        <w:r w:rsidRPr="002E19A4">
          <w:rPr>
            <w:rStyle w:val="a6"/>
            <w:rFonts w:ascii="Times New Roman" w:hAnsi="Times New Roman"/>
            <w:sz w:val="24"/>
            <w:szCs w:val="24"/>
          </w:rPr>
          <w:t>http://agrostore.biz.ua/vpliv-strokiv-zbirannya-na-nasinnyevu-produktivnist-ta-posivni-yakosti-nasinnya-nizovix-zlakovix-trav/</w:t>
        </w:r>
      </w:hyperlink>
      <w:r w:rsidRPr="002E19A4">
        <w:rPr>
          <w:rFonts w:ascii="Times New Roman" w:hAnsi="Times New Roman"/>
          <w:sz w:val="24"/>
          <w:szCs w:val="24"/>
        </w:rPr>
        <w:t xml:space="preserve"> 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Василенко Н.Є. Умови збирання врожаю насіння багаторічних низових злакових трав. Таврійський науковий вісник. 2022. №125. С. 19-25.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A4">
        <w:rPr>
          <w:rFonts w:ascii="Times New Roman" w:hAnsi="Times New Roman"/>
          <w:sz w:val="24"/>
          <w:szCs w:val="24"/>
        </w:rPr>
        <w:t>Вожегова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Р. А. </w:t>
      </w:r>
      <w:proofErr w:type="spellStart"/>
      <w:r w:rsidRPr="002E19A4">
        <w:rPr>
          <w:rFonts w:ascii="Times New Roman" w:hAnsi="Times New Roman"/>
          <w:sz w:val="24"/>
          <w:szCs w:val="24"/>
        </w:rPr>
        <w:t>Ресурсоощадні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технології вирощування люцерни на насіння в південному Степу України / Р. А. </w:t>
      </w:r>
      <w:proofErr w:type="spellStart"/>
      <w:r w:rsidRPr="002E19A4">
        <w:rPr>
          <w:rFonts w:ascii="Times New Roman" w:hAnsi="Times New Roman"/>
          <w:sz w:val="24"/>
          <w:szCs w:val="24"/>
        </w:rPr>
        <w:t>Вожегова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 w:rsidRPr="002E19A4">
        <w:rPr>
          <w:rFonts w:ascii="Times New Roman" w:hAnsi="Times New Roman"/>
          <w:sz w:val="24"/>
          <w:szCs w:val="24"/>
        </w:rPr>
        <w:t>Сахно</w:t>
      </w:r>
      <w:proofErr w:type="spellEnd"/>
      <w:r w:rsidRPr="002E19A4">
        <w:rPr>
          <w:rFonts w:ascii="Times New Roman" w:hAnsi="Times New Roman"/>
          <w:sz w:val="24"/>
          <w:szCs w:val="24"/>
        </w:rPr>
        <w:t>, С. П. Голобородько та ін. – Херсон.: Атлант, 2012. – 130 с.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A4">
        <w:rPr>
          <w:rFonts w:ascii="Times New Roman" w:hAnsi="Times New Roman"/>
          <w:sz w:val="24"/>
          <w:szCs w:val="24"/>
        </w:rPr>
        <w:t>Мойсієнко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2E19A4">
        <w:rPr>
          <w:rFonts w:ascii="Times New Roman" w:hAnsi="Times New Roman"/>
          <w:sz w:val="24"/>
          <w:szCs w:val="24"/>
        </w:rPr>
        <w:t>Сладковська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Т. А. Формування насіння багаторічних злакових трав залежно від елементів технології вирощування в умовах ТОВ «</w:t>
      </w:r>
      <w:proofErr w:type="spellStart"/>
      <w:r w:rsidRPr="002E19A4">
        <w:rPr>
          <w:rFonts w:ascii="Times New Roman" w:hAnsi="Times New Roman"/>
          <w:sz w:val="24"/>
          <w:szCs w:val="24"/>
        </w:rPr>
        <w:t>Житомирнасінтрав</w:t>
      </w:r>
      <w:proofErr w:type="spellEnd"/>
      <w:r w:rsidRPr="002E19A4">
        <w:rPr>
          <w:rFonts w:ascii="Times New Roman" w:hAnsi="Times New Roman"/>
          <w:sz w:val="24"/>
          <w:szCs w:val="24"/>
        </w:rPr>
        <w:t>». Збірник ЖНАЕУ. Житомир : ЖНАЕУ, 2013. Т. 1. С. 197–199.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Петриченко В.Ф. Стратегія розвитку ринку насіння кормових культур в Україні. Інтернет-ресурс: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E19A4">
          <w:rPr>
            <w:rStyle w:val="a6"/>
            <w:rFonts w:ascii="Times New Roman" w:hAnsi="Times New Roman"/>
            <w:sz w:val="24"/>
            <w:szCs w:val="24"/>
          </w:rPr>
          <w:t>https://a7d.com.ua/plants/1727-strategiya-rozvitku-rinku-nasinnya-kormovix.html</w:t>
        </w:r>
      </w:hyperlink>
      <w:r w:rsidRPr="002E19A4">
        <w:rPr>
          <w:rFonts w:ascii="Times New Roman" w:hAnsi="Times New Roman"/>
          <w:sz w:val="24"/>
          <w:szCs w:val="24"/>
        </w:rPr>
        <w:t xml:space="preserve"> 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Цуркан. Н.В., Антипова Л.К. Розвиток виробництва насіння багаторічних трав. Корми і </w:t>
      </w:r>
      <w:proofErr w:type="spellStart"/>
      <w:r w:rsidRPr="002E19A4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2E19A4">
        <w:rPr>
          <w:rFonts w:ascii="Times New Roman" w:hAnsi="Times New Roman"/>
          <w:sz w:val="24"/>
          <w:szCs w:val="24"/>
        </w:rPr>
        <w:t>Вип</w:t>
      </w:r>
      <w:proofErr w:type="spellEnd"/>
      <w:r w:rsidRPr="002E19A4">
        <w:rPr>
          <w:rFonts w:ascii="Times New Roman" w:hAnsi="Times New Roman"/>
          <w:sz w:val="24"/>
          <w:szCs w:val="24"/>
        </w:rPr>
        <w:t>. 77. С.73-76.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9A4">
        <w:rPr>
          <w:rFonts w:ascii="Times New Roman" w:hAnsi="Times New Roman"/>
          <w:sz w:val="24"/>
          <w:szCs w:val="24"/>
        </w:rPr>
        <w:t>Чипляка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2E19A4">
        <w:rPr>
          <w:rFonts w:ascii="Times New Roman" w:hAnsi="Times New Roman"/>
          <w:sz w:val="24"/>
          <w:szCs w:val="24"/>
        </w:rPr>
        <w:t>Подлєсний</w:t>
      </w:r>
      <w:proofErr w:type="spellEnd"/>
      <w:r w:rsidRPr="002E19A4">
        <w:rPr>
          <w:rFonts w:ascii="Times New Roman" w:hAnsi="Times New Roman"/>
          <w:sz w:val="24"/>
          <w:szCs w:val="24"/>
        </w:rPr>
        <w:t xml:space="preserve"> М.В. Насінництво багаторічних трав. Агробізнес сьогодні. 2013.№5. С. 48-49. </w:t>
      </w:r>
    </w:p>
    <w:p w:rsidR="002E19A4" w:rsidRPr="002E19A4" w:rsidRDefault="002E19A4" w:rsidP="002E19A4">
      <w:pPr>
        <w:widowControl w:val="0"/>
        <w:tabs>
          <w:tab w:val="left" w:pos="993"/>
        </w:tabs>
        <w:suppressAutoHyphens/>
        <w:autoSpaceDE w:val="0"/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9A4" w:rsidRPr="002E19A4" w:rsidRDefault="002E19A4" w:rsidP="002E19A4">
      <w:pPr>
        <w:widowControl w:val="0"/>
        <w:tabs>
          <w:tab w:val="left" w:pos="993"/>
        </w:tabs>
        <w:suppressAutoHyphens/>
        <w:autoSpaceDE w:val="0"/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9A4">
        <w:rPr>
          <w:rFonts w:ascii="Times New Roman" w:hAnsi="Times New Roman"/>
          <w:b/>
          <w:bCs/>
          <w:sz w:val="24"/>
          <w:szCs w:val="24"/>
        </w:rPr>
        <w:t>Використовувані в навчальному процесі нормативні документи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ДСТУ 4138-2002 Насіння сільськогосподарських культур. Методи визначення якості. </w:t>
      </w:r>
      <w:proofErr w:type="spellStart"/>
      <w:r w:rsidRPr="002E19A4">
        <w:rPr>
          <w:rFonts w:ascii="Times New Roman" w:hAnsi="Times New Roman"/>
          <w:sz w:val="24"/>
          <w:szCs w:val="24"/>
        </w:rPr>
        <w:t>Киів</w:t>
      </w:r>
      <w:proofErr w:type="spellEnd"/>
      <w:r w:rsidRPr="002E19A4">
        <w:rPr>
          <w:rFonts w:ascii="Times New Roman" w:hAnsi="Times New Roman"/>
          <w:sz w:val="24"/>
          <w:szCs w:val="24"/>
        </w:rPr>
        <w:t>: Держспоживстандарт України, 2003. 173 с</w:t>
      </w:r>
      <w:r w:rsidRPr="002E19A4">
        <w:rPr>
          <w:rFonts w:ascii="Times New Roman" w:hAnsi="Times New Roman"/>
          <w:sz w:val="24"/>
          <w:szCs w:val="24"/>
        </w:rPr>
        <w:tab/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СОУ 01.11-37-469:2006 Кормові культури. Конюшина лучна. Технологія вирощування. Основні положення.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СОУ 01.11-37-470:2006 Кормові культури. Пажитниця багаторічна. Технологія вирощування. Основні положення.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СОУ 01.11-37-465:2006 Кормові культури. Люцерна. Технологія вирощування. Основні положення. 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>СОУ 01.11-37-466:2006 Кормові культури. Стоколос безостий. Технологія вирощування. Основні положення.</w:t>
      </w:r>
    </w:p>
    <w:p w:rsidR="002E19A4" w:rsidRPr="002E19A4" w:rsidRDefault="002E19A4" w:rsidP="002E19A4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35" w:lineRule="auto"/>
        <w:ind w:left="298" w:firstLine="709"/>
        <w:jc w:val="both"/>
        <w:rPr>
          <w:rStyle w:val="a6"/>
          <w:rFonts w:ascii="Arial" w:hAnsi="Arial" w:cs="Arial"/>
          <w:color w:val="083062"/>
          <w:sz w:val="24"/>
          <w:szCs w:val="24"/>
        </w:rPr>
      </w:pPr>
      <w:r w:rsidRPr="002E19A4">
        <w:rPr>
          <w:rFonts w:ascii="Times New Roman" w:hAnsi="Times New Roman"/>
          <w:sz w:val="24"/>
          <w:szCs w:val="24"/>
        </w:rPr>
        <w:t xml:space="preserve">СОУ 01.11-37-686:2007 Пирій сизий. Технологія вирощування. Загальні вимоги. </w:t>
      </w:r>
    </w:p>
    <w:p w:rsidR="007C3A37" w:rsidRPr="002E19A4" w:rsidRDefault="007C3A37" w:rsidP="002E19A4">
      <w:pPr>
        <w:pStyle w:val="a8"/>
        <w:tabs>
          <w:tab w:val="left" w:pos="851"/>
          <w:tab w:val="left" w:pos="993"/>
        </w:tabs>
        <w:spacing w:line="360" w:lineRule="auto"/>
        <w:ind w:left="709"/>
        <w:jc w:val="both"/>
      </w:pPr>
    </w:p>
    <w:sectPr w:rsidR="007C3A37" w:rsidRPr="002E19A4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32" w:hanging="363"/>
      </w:pPr>
      <w:rPr>
        <w:rFonts w:cs="Times New Roman"/>
      </w:rPr>
    </w:lvl>
  </w:abstractNum>
  <w:abstractNum w:abstractNumId="1" w15:restartNumberingAfterBreak="0">
    <w:nsid w:val="00EC7EC0"/>
    <w:multiLevelType w:val="hybridMultilevel"/>
    <w:tmpl w:val="6F6E26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F85"/>
    <w:multiLevelType w:val="hybridMultilevel"/>
    <w:tmpl w:val="42647DB0"/>
    <w:lvl w:ilvl="0" w:tplc="64FEB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D48C6"/>
    <w:multiLevelType w:val="hybridMultilevel"/>
    <w:tmpl w:val="ED56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1938"/>
    <w:multiLevelType w:val="hybridMultilevel"/>
    <w:tmpl w:val="80AA8E22"/>
    <w:lvl w:ilvl="0" w:tplc="EC341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9B6AD8"/>
    <w:multiLevelType w:val="hybridMultilevel"/>
    <w:tmpl w:val="45F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8D0"/>
    <w:multiLevelType w:val="hybridMultilevel"/>
    <w:tmpl w:val="08E0D2DA"/>
    <w:lvl w:ilvl="0" w:tplc="703E947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 w15:restartNumberingAfterBreak="0">
    <w:nsid w:val="37627915"/>
    <w:multiLevelType w:val="hybridMultilevel"/>
    <w:tmpl w:val="461C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3239"/>
    <w:multiLevelType w:val="hybridMultilevel"/>
    <w:tmpl w:val="4AE008F4"/>
    <w:lvl w:ilvl="0" w:tplc="663E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C67889"/>
    <w:multiLevelType w:val="hybridMultilevel"/>
    <w:tmpl w:val="4954AAE0"/>
    <w:lvl w:ilvl="0" w:tplc="B3904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01B52"/>
    <w:multiLevelType w:val="hybridMultilevel"/>
    <w:tmpl w:val="FB2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01213">
    <w:abstractNumId w:val="10"/>
  </w:num>
  <w:num w:numId="2" w16cid:durableId="169881192">
    <w:abstractNumId w:val="3"/>
  </w:num>
  <w:num w:numId="3" w16cid:durableId="1007438489">
    <w:abstractNumId w:val="7"/>
  </w:num>
  <w:num w:numId="4" w16cid:durableId="1388914604">
    <w:abstractNumId w:val="4"/>
  </w:num>
  <w:num w:numId="5" w16cid:durableId="992223434">
    <w:abstractNumId w:val="5"/>
  </w:num>
  <w:num w:numId="6" w16cid:durableId="427779214">
    <w:abstractNumId w:val="6"/>
  </w:num>
  <w:num w:numId="7" w16cid:durableId="1885631451">
    <w:abstractNumId w:val="1"/>
  </w:num>
  <w:num w:numId="8" w16cid:durableId="75828777">
    <w:abstractNumId w:val="9"/>
  </w:num>
  <w:num w:numId="9" w16cid:durableId="1432702892">
    <w:abstractNumId w:val="0"/>
  </w:num>
  <w:num w:numId="10" w16cid:durableId="1366754744">
    <w:abstractNumId w:val="2"/>
  </w:num>
  <w:num w:numId="11" w16cid:durableId="202594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009A6"/>
    <w:rsid w:val="00025EAE"/>
    <w:rsid w:val="00035516"/>
    <w:rsid w:val="000603EC"/>
    <w:rsid w:val="000B40E2"/>
    <w:rsid w:val="000E3A0E"/>
    <w:rsid w:val="00117D64"/>
    <w:rsid w:val="00130933"/>
    <w:rsid w:val="00131124"/>
    <w:rsid w:val="001431F8"/>
    <w:rsid w:val="00174159"/>
    <w:rsid w:val="001D6E34"/>
    <w:rsid w:val="0020200E"/>
    <w:rsid w:val="002028A0"/>
    <w:rsid w:val="00211636"/>
    <w:rsid w:val="002171BC"/>
    <w:rsid w:val="00243F69"/>
    <w:rsid w:val="00244D3A"/>
    <w:rsid w:val="00246136"/>
    <w:rsid w:val="002C517A"/>
    <w:rsid w:val="002E19A4"/>
    <w:rsid w:val="00374921"/>
    <w:rsid w:val="003D7DA5"/>
    <w:rsid w:val="003F03D4"/>
    <w:rsid w:val="003F4B55"/>
    <w:rsid w:val="00421027"/>
    <w:rsid w:val="00483B7F"/>
    <w:rsid w:val="00490448"/>
    <w:rsid w:val="004B7515"/>
    <w:rsid w:val="004D4161"/>
    <w:rsid w:val="004E005E"/>
    <w:rsid w:val="00522136"/>
    <w:rsid w:val="005222F2"/>
    <w:rsid w:val="00544D46"/>
    <w:rsid w:val="00581698"/>
    <w:rsid w:val="00582279"/>
    <w:rsid w:val="005827D2"/>
    <w:rsid w:val="005B5192"/>
    <w:rsid w:val="005C2F36"/>
    <w:rsid w:val="005C6219"/>
    <w:rsid w:val="005D323C"/>
    <w:rsid w:val="006118DB"/>
    <w:rsid w:val="00654D54"/>
    <w:rsid w:val="0066610A"/>
    <w:rsid w:val="0070082F"/>
    <w:rsid w:val="00720A76"/>
    <w:rsid w:val="00733828"/>
    <w:rsid w:val="007C3A37"/>
    <w:rsid w:val="007E7CD2"/>
    <w:rsid w:val="00886484"/>
    <w:rsid w:val="008927AA"/>
    <w:rsid w:val="00902382"/>
    <w:rsid w:val="00961B34"/>
    <w:rsid w:val="009A1733"/>
    <w:rsid w:val="009D67D5"/>
    <w:rsid w:val="009E0079"/>
    <w:rsid w:val="009F1C3C"/>
    <w:rsid w:val="00A034F7"/>
    <w:rsid w:val="00A4799E"/>
    <w:rsid w:val="00A55A9E"/>
    <w:rsid w:val="00A6282B"/>
    <w:rsid w:val="00A665A9"/>
    <w:rsid w:val="00A71958"/>
    <w:rsid w:val="00A71D92"/>
    <w:rsid w:val="00A96EF1"/>
    <w:rsid w:val="00AF1A3D"/>
    <w:rsid w:val="00BB5492"/>
    <w:rsid w:val="00BC6F7C"/>
    <w:rsid w:val="00BD3C9B"/>
    <w:rsid w:val="00C40F6F"/>
    <w:rsid w:val="00C44B38"/>
    <w:rsid w:val="00C81D9E"/>
    <w:rsid w:val="00C950A5"/>
    <w:rsid w:val="00CA1758"/>
    <w:rsid w:val="00CC5B9B"/>
    <w:rsid w:val="00D00158"/>
    <w:rsid w:val="00D07829"/>
    <w:rsid w:val="00D452BE"/>
    <w:rsid w:val="00D742E7"/>
    <w:rsid w:val="00DD7841"/>
    <w:rsid w:val="00E036E7"/>
    <w:rsid w:val="00E373B7"/>
    <w:rsid w:val="00EC07A1"/>
    <w:rsid w:val="00ED3451"/>
    <w:rsid w:val="00EF7050"/>
    <w:rsid w:val="00F21E2C"/>
    <w:rsid w:val="00F67068"/>
    <w:rsid w:val="00F82151"/>
    <w:rsid w:val="00F8589C"/>
    <w:rsid w:val="00FD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EDD8"/>
  <w15:docId w15:val="{BC728CBF-87DC-4E89-935B-1555B8C1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7C"/>
    <w:pPr>
      <w:spacing w:after="200" w:line="276" w:lineRule="auto"/>
    </w:pPr>
    <w:rPr>
      <w:lang w:val="uk-UA" w:eastAsia="en-US"/>
    </w:rPr>
  </w:style>
  <w:style w:type="paragraph" w:styleId="6">
    <w:name w:val="heading 6"/>
    <w:basedOn w:val="a"/>
    <w:next w:val="a"/>
    <w:link w:val="60"/>
    <w:qFormat/>
    <w:locked/>
    <w:rsid w:val="00490448"/>
    <w:pPr>
      <w:keepNext/>
      <w:spacing w:after="0" w:line="360" w:lineRule="auto"/>
      <w:ind w:firstLine="900"/>
      <w:jc w:val="both"/>
      <w:outlineLvl w:val="5"/>
    </w:pPr>
    <w:rPr>
      <w:rFonts w:ascii="Times New Roman" w:eastAsia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431F8"/>
    <w:rPr>
      <w:rFonts w:ascii="Tahoma" w:hAnsi="Tahoma"/>
      <w:sz w:val="16"/>
    </w:rPr>
  </w:style>
  <w:style w:type="character" w:styleId="a6">
    <w:name w:val="Hyperlink"/>
    <w:basedOn w:val="a0"/>
    <w:uiPriority w:val="99"/>
    <w:rsid w:val="00483B7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452BE"/>
    <w:pPr>
      <w:ind w:left="720"/>
      <w:contextualSpacing/>
    </w:pPr>
  </w:style>
  <w:style w:type="character" w:customStyle="1" w:styleId="markedcontent">
    <w:name w:val="markedcontent"/>
    <w:rsid w:val="00E373B7"/>
  </w:style>
  <w:style w:type="paragraph" w:styleId="a8">
    <w:name w:val="No Spacing"/>
    <w:uiPriority w:val="1"/>
    <w:qFormat/>
    <w:rsid w:val="00174159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90448"/>
    <w:rPr>
      <w:rFonts w:ascii="Times New Roman" w:eastAsia="Times New Roman" w:hAnsi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store.biz.ua/vpliv-strokiv-zbirannya-na-nasinnyevu-produktivnist-ta-posivni-yakosti-nasinnya-nizovix-zlakovix-t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tore.biz.ua/agroekologichni-aspekti-texnologi&#1111;-viroshhuvannya-nasinnya-novix-sortiv-bobovix-trav-v-umovax-lisostepu-ta-polissya-ukra&#1111;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as.fostolovich?fref=hovercard&amp;hc_location=ch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7d.com.ua/plants/1727-strategiya-rozvitku-rinku-nasinnya-kormov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COMP</cp:lastModifiedBy>
  <cp:revision>45</cp:revision>
  <cp:lastPrinted>2023-05-06T10:14:00Z</cp:lastPrinted>
  <dcterms:created xsi:type="dcterms:W3CDTF">2023-06-18T21:17:00Z</dcterms:created>
  <dcterms:modified xsi:type="dcterms:W3CDTF">2023-06-18T22:57:00Z</dcterms:modified>
</cp:coreProperties>
</file>