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7F2E" w:rsidRPr="008B7F2E" w:rsidRDefault="008B7F2E" w:rsidP="008B7F2E">
      <w:pPr>
        <w:widowControl w:val="0"/>
        <w:autoSpaceDE w:val="0"/>
        <w:autoSpaceDN w:val="0"/>
        <w:spacing w:after="0" w:line="240" w:lineRule="auto"/>
        <w:ind w:firstLine="567"/>
        <w:jc w:val="center"/>
        <w:rPr>
          <w:rFonts w:ascii="Times New Roman" w:eastAsia="Times New Roman" w:hAnsi="Times New Roman" w:cs="Times New Roman"/>
          <w:b/>
          <w:sz w:val="28"/>
          <w:szCs w:val="28"/>
          <w:lang w:val="uk-UA"/>
        </w:rPr>
      </w:pPr>
      <w:r w:rsidRPr="008B7F2E">
        <w:rPr>
          <w:rFonts w:ascii="Times New Roman" w:eastAsia="Times New Roman" w:hAnsi="Times New Roman" w:cs="Times New Roman"/>
          <w:b/>
          <w:sz w:val="28"/>
          <w:szCs w:val="28"/>
          <w:lang w:val="uk-UA"/>
        </w:rPr>
        <w:t>Довідка</w:t>
      </w:r>
    </w:p>
    <w:p w:rsidR="008B7F2E" w:rsidRPr="008B7F2E" w:rsidRDefault="008B7F2E" w:rsidP="008B7F2E">
      <w:pPr>
        <w:widowControl w:val="0"/>
        <w:autoSpaceDE w:val="0"/>
        <w:autoSpaceDN w:val="0"/>
        <w:spacing w:after="0" w:line="240" w:lineRule="auto"/>
        <w:ind w:firstLine="567"/>
        <w:jc w:val="center"/>
        <w:rPr>
          <w:rFonts w:ascii="Times New Roman" w:eastAsia="Times New Roman" w:hAnsi="Times New Roman" w:cs="Times New Roman"/>
          <w:b/>
          <w:sz w:val="28"/>
          <w:szCs w:val="28"/>
          <w:lang w:val="uk-UA"/>
        </w:rPr>
      </w:pPr>
      <w:r w:rsidRPr="008B7F2E">
        <w:rPr>
          <w:rFonts w:ascii="Times New Roman" w:eastAsia="Times New Roman" w:hAnsi="Times New Roman" w:cs="Times New Roman"/>
          <w:b/>
          <w:sz w:val="28"/>
          <w:szCs w:val="28"/>
          <w:lang w:val="uk-UA"/>
        </w:rPr>
        <w:t xml:space="preserve">з </w:t>
      </w:r>
      <w:r w:rsidRPr="008B7F2E">
        <w:rPr>
          <w:rFonts w:ascii="Times New Roman" w:eastAsia="Times New Roman" w:hAnsi="Times New Roman" w:cs="Times New Roman"/>
          <w:b/>
          <w:sz w:val="28"/>
          <w:szCs w:val="28"/>
          <w:lang w:val="uk-UA"/>
        </w:rPr>
        <w:t xml:space="preserve">Регламенту рамкової програми </w:t>
      </w:r>
      <w:proofErr w:type="spellStart"/>
      <w:r w:rsidRPr="008B7F2E">
        <w:rPr>
          <w:rFonts w:ascii="Times New Roman" w:eastAsia="Times New Roman" w:hAnsi="Times New Roman" w:cs="Times New Roman"/>
          <w:b/>
          <w:sz w:val="28"/>
          <w:szCs w:val="28"/>
          <w:lang w:val="uk-UA"/>
        </w:rPr>
        <w:t>Horizon</w:t>
      </w:r>
      <w:proofErr w:type="spellEnd"/>
      <w:r w:rsidRPr="008B7F2E">
        <w:rPr>
          <w:rFonts w:ascii="Times New Roman" w:eastAsia="Times New Roman" w:hAnsi="Times New Roman" w:cs="Times New Roman"/>
          <w:b/>
          <w:sz w:val="28"/>
          <w:szCs w:val="28"/>
          <w:lang w:val="uk-UA"/>
        </w:rPr>
        <w:t xml:space="preserve"> </w:t>
      </w:r>
      <w:proofErr w:type="spellStart"/>
      <w:r w:rsidRPr="008B7F2E">
        <w:rPr>
          <w:rFonts w:ascii="Times New Roman" w:eastAsia="Times New Roman" w:hAnsi="Times New Roman" w:cs="Times New Roman"/>
          <w:b/>
          <w:sz w:val="28"/>
          <w:szCs w:val="28"/>
          <w:lang w:val="uk-UA"/>
        </w:rPr>
        <w:t>Europe</w:t>
      </w:r>
      <w:proofErr w:type="spellEnd"/>
    </w:p>
    <w:p w:rsidR="008B7F2E" w:rsidRDefault="008B7F2E" w:rsidP="008B7F2E">
      <w:pPr>
        <w:widowControl w:val="0"/>
        <w:autoSpaceDE w:val="0"/>
        <w:autoSpaceDN w:val="0"/>
        <w:spacing w:after="0" w:line="240" w:lineRule="auto"/>
        <w:ind w:firstLine="567"/>
        <w:jc w:val="both"/>
        <w:rPr>
          <w:rFonts w:ascii="Times New Roman" w:eastAsia="Times New Roman" w:hAnsi="Times New Roman" w:cs="Times New Roman"/>
          <w:b/>
          <w:sz w:val="28"/>
          <w:szCs w:val="28"/>
          <w:lang w:val="uk-UA"/>
        </w:rPr>
      </w:pPr>
    </w:p>
    <w:p w:rsidR="008B7F2E" w:rsidRPr="008B7F2E" w:rsidRDefault="008B7F2E" w:rsidP="008B7F2E">
      <w:pPr>
        <w:widowControl w:val="0"/>
        <w:autoSpaceDE w:val="0"/>
        <w:autoSpaceDN w:val="0"/>
        <w:spacing w:after="0" w:line="240" w:lineRule="auto"/>
        <w:ind w:firstLine="567"/>
        <w:jc w:val="both"/>
        <w:rPr>
          <w:rFonts w:ascii="Times New Roman" w:eastAsia="Times New Roman" w:hAnsi="Times New Roman" w:cs="Times New Roman"/>
          <w:b/>
          <w:sz w:val="28"/>
          <w:szCs w:val="28"/>
          <w:lang w:val="uk-UA"/>
        </w:rPr>
      </w:pPr>
      <w:r w:rsidRPr="008B7F2E">
        <w:rPr>
          <w:rFonts w:ascii="Times New Roman" w:eastAsia="Times New Roman" w:hAnsi="Times New Roman" w:cs="Times New Roman"/>
          <w:b/>
          <w:sz w:val="28"/>
          <w:szCs w:val="28"/>
          <w:lang w:val="uk-UA"/>
        </w:rPr>
        <w:t xml:space="preserve">Гендерний </w:t>
      </w:r>
      <w:proofErr w:type="spellStart"/>
      <w:r w:rsidRPr="008B7F2E">
        <w:rPr>
          <w:rFonts w:ascii="Times New Roman" w:eastAsia="Times New Roman" w:hAnsi="Times New Roman" w:cs="Times New Roman"/>
          <w:b/>
          <w:sz w:val="28"/>
          <w:szCs w:val="28"/>
          <w:lang w:val="uk-UA"/>
        </w:rPr>
        <w:t>мейнстрімінг</w:t>
      </w:r>
      <w:proofErr w:type="spellEnd"/>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вжити всіх заходів для сприяння рівним можливостям між чоловіками та жінками під час реалізації заходу та, де це можливо, відповідно до плану гендерної рівності. Вони повинні прагнути, наскільки це можливо, до гендерного балансу на всіх рівнях персоналу, призначеного для виконання заходів, включно з наглядовим і управлінським рівнями.</w:t>
      </w:r>
    </w:p>
    <w:p w:rsidR="008B7F2E" w:rsidRPr="008B7F2E" w:rsidRDefault="008B7F2E" w:rsidP="008B7F2E">
      <w:pPr>
        <w:widowControl w:val="0"/>
        <w:autoSpaceDE w:val="0"/>
        <w:autoSpaceDN w:val="0"/>
        <w:spacing w:after="0" w:line="276" w:lineRule="auto"/>
        <w:ind w:right="32" w:firstLine="567"/>
        <w:jc w:val="both"/>
        <w:rPr>
          <w:rFonts w:ascii="Times New Roman" w:eastAsia="Times New Roman" w:hAnsi="Times New Roman" w:cs="Times New Roman"/>
          <w:b/>
          <w:sz w:val="28"/>
          <w:szCs w:val="28"/>
          <w:lang w:val="uk-UA"/>
        </w:rPr>
      </w:pPr>
      <w:r w:rsidRPr="008B7F2E">
        <w:rPr>
          <w:rFonts w:ascii="Times New Roman" w:eastAsia="Times New Roman" w:hAnsi="Times New Roman" w:cs="Times New Roman"/>
          <w:b/>
          <w:sz w:val="28"/>
          <w:szCs w:val="28"/>
          <w:u w:val="thick"/>
          <w:lang w:val="uk-UA"/>
        </w:rPr>
        <w:t>ПРАВА ІНТЕЛЕКТУАЛЬНОЇ ВЛАСНОСТІ (ПІВ)</w:t>
      </w:r>
      <w:r w:rsidRPr="008B7F2E">
        <w:rPr>
          <w:rFonts w:ascii="Times New Roman" w:eastAsia="Times New Roman" w:hAnsi="Times New Roman" w:cs="Times New Roman"/>
          <w:sz w:val="28"/>
          <w:szCs w:val="28"/>
          <w:u w:val="thick"/>
          <w:lang w:val="uk-UA"/>
        </w:rPr>
        <w:t>— ІНФОРМАЦІЯ ТА РЕЗУЛЬТАТИ —</w:t>
      </w:r>
      <w:r w:rsidRPr="008B7F2E">
        <w:rPr>
          <w:rFonts w:ascii="Times New Roman" w:eastAsia="Times New Roman" w:hAnsi="Times New Roman" w:cs="Times New Roman"/>
          <w:spacing w:val="-57"/>
          <w:sz w:val="28"/>
          <w:szCs w:val="28"/>
          <w:lang w:val="uk-UA"/>
        </w:rPr>
        <w:t xml:space="preserve"> </w:t>
      </w:r>
      <w:r w:rsidRPr="008B7F2E">
        <w:rPr>
          <w:rFonts w:ascii="Times New Roman" w:eastAsia="Times New Roman" w:hAnsi="Times New Roman" w:cs="Times New Roman"/>
          <w:b/>
          <w:sz w:val="28"/>
          <w:szCs w:val="28"/>
          <w:u w:val="thick"/>
          <w:lang w:val="uk-UA"/>
        </w:rPr>
        <w:t>ПРАВА ДОСТУПУ ТА ПРАВА НА ВИКОРИСТАННЯ (</w:t>
      </w:r>
      <w:r w:rsidRPr="008B7F2E">
        <w:rPr>
          <w:rFonts w:ascii="Times New Roman" w:eastAsia="Times New Roman" w:hAnsi="Times New Roman" w:cs="Times New Roman"/>
          <w:sz w:val="28"/>
          <w:szCs w:val="28"/>
          <w:u w:val="thick"/>
          <w:lang w:val="uk-UA"/>
        </w:rPr>
        <w:t>— СТАТТЯ 16)</w:t>
      </w:r>
    </w:p>
    <w:p w:rsidR="008B7F2E" w:rsidRPr="008B7F2E" w:rsidRDefault="008B7F2E" w:rsidP="008B7F2E">
      <w:pPr>
        <w:widowControl w:val="0"/>
        <w:autoSpaceDE w:val="0"/>
        <w:autoSpaceDN w:val="0"/>
        <w:spacing w:after="0" w:line="276" w:lineRule="auto"/>
        <w:ind w:right="32" w:firstLine="567"/>
        <w:rPr>
          <w:rFonts w:ascii="Times New Roman" w:eastAsia="Times New Roman" w:hAnsi="Times New Roman" w:cs="Times New Roman"/>
          <w:b/>
          <w:sz w:val="28"/>
          <w:szCs w:val="28"/>
          <w:lang w:val="uk-UA"/>
        </w:rPr>
      </w:pPr>
      <w:r w:rsidRPr="008B7F2E">
        <w:rPr>
          <w:rFonts w:ascii="Times New Roman" w:eastAsia="Times New Roman" w:hAnsi="Times New Roman" w:cs="Times New Roman"/>
          <w:b/>
          <w:sz w:val="28"/>
          <w:szCs w:val="28"/>
          <w:lang w:val="uk-UA"/>
        </w:rPr>
        <w:t>Визначення</w:t>
      </w:r>
    </w:p>
    <w:p w:rsidR="008B7F2E" w:rsidRPr="008B7F2E" w:rsidRDefault="008B7F2E" w:rsidP="008B7F2E">
      <w:pPr>
        <w:widowControl w:val="0"/>
        <w:autoSpaceDE w:val="0"/>
        <w:autoSpaceDN w:val="0"/>
        <w:spacing w:after="0" w:line="276" w:lineRule="auto"/>
        <w:ind w:right="32"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Права доступу — права на використання результатів або бекграунду.</w:t>
      </w:r>
    </w:p>
    <w:p w:rsidR="008B7F2E" w:rsidRPr="008B7F2E" w:rsidRDefault="008B7F2E" w:rsidP="008B7F2E">
      <w:pPr>
        <w:widowControl w:val="0"/>
        <w:autoSpaceDE w:val="0"/>
        <w:autoSpaceDN w:val="0"/>
        <w:spacing w:after="0" w:line="276"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Розповсюдження — публічне оприлюднення результатів за допомогою відповідних засобів, крім тих, що є результатом захисту або використання результатів, у тому числі шляхом наукових публікацій у будь-якому засобі масової інформації.</w:t>
      </w:r>
    </w:p>
    <w:p w:rsidR="008B7F2E" w:rsidRPr="008B7F2E" w:rsidRDefault="008B7F2E" w:rsidP="008B7F2E">
      <w:pPr>
        <w:widowControl w:val="0"/>
        <w:autoSpaceDE w:val="0"/>
        <w:autoSpaceDN w:val="0"/>
        <w:spacing w:after="0" w:line="276"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Експлуатація — використання результатів у подальшій дослідницькій та інноваційній діяльності, крім тих, що охоплюються відповідними діями, включаючи, серед іншого, комерційне використання, таке як розробка, створення, виробництво та маркетинг продукту чи процесу, створення та надання послуг або в діяльності зі стандартизації.</w:t>
      </w:r>
    </w:p>
    <w:p w:rsidR="008B7F2E" w:rsidRPr="008B7F2E" w:rsidRDefault="008B7F2E" w:rsidP="008B7F2E">
      <w:pPr>
        <w:widowControl w:val="0"/>
        <w:autoSpaceDE w:val="0"/>
        <w:autoSpaceDN w:val="0"/>
        <w:spacing w:after="0" w:line="276"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Справедливі та належні умови — відповідні умови, включно з можливими фінансовими умовами або безоплатними умовами, враховуючи конкретні обставини запиту на доступ, наприклад, фактичну або потенційну цінність результатів або передумови, до яких запитується доступ, та/або обсяг, тривалість або інші характеристики передбачуваної експлуатації.</w:t>
      </w:r>
    </w:p>
    <w:p w:rsidR="008B7F2E" w:rsidRPr="008B7F2E" w:rsidRDefault="008B7F2E" w:rsidP="008B7F2E">
      <w:pPr>
        <w:spacing w:after="0" w:line="240" w:lineRule="auto"/>
        <w:ind w:firstLine="567"/>
        <w:rPr>
          <w:rFonts w:ascii="Times New Roman" w:eastAsia="Times New Roman" w:hAnsi="Times New Roman" w:cs="Times New Roman"/>
          <w:sz w:val="28"/>
          <w:szCs w:val="28"/>
          <w:lang w:val="uk-UA"/>
        </w:rPr>
      </w:pPr>
    </w:p>
    <w:p w:rsidR="008B7F2E" w:rsidRPr="008B7F2E" w:rsidRDefault="008B7F2E" w:rsidP="008B7F2E">
      <w:pPr>
        <w:widowControl w:val="0"/>
        <w:autoSpaceDE w:val="0"/>
        <w:autoSpaceDN w:val="0"/>
        <w:spacing w:after="0" w:line="240" w:lineRule="auto"/>
        <w:ind w:right="-109"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Принципи FAIR — «можливість пошуку», «доступність», «функціональна сумісність» і «повторне використання».</w:t>
      </w:r>
    </w:p>
    <w:p w:rsidR="008B7F2E" w:rsidRPr="008B7F2E" w:rsidRDefault="008B7F2E" w:rsidP="008B7F2E">
      <w:pPr>
        <w:widowControl w:val="0"/>
        <w:autoSpaceDE w:val="0"/>
        <w:autoSpaceDN w:val="0"/>
        <w:spacing w:after="0" w:line="240" w:lineRule="auto"/>
        <w:ind w:right="-109"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Відкритий доступ — Інтернет-доступ до результатів досліджень, який надається кінцевому користувачеві безкоштовно.</w:t>
      </w:r>
    </w:p>
    <w:p w:rsidR="008B7F2E" w:rsidRPr="008B7F2E" w:rsidRDefault="008B7F2E" w:rsidP="008B7F2E">
      <w:pPr>
        <w:widowControl w:val="0"/>
        <w:autoSpaceDE w:val="0"/>
        <w:autoSpaceDN w:val="0"/>
        <w:spacing w:after="0" w:line="240" w:lineRule="auto"/>
        <w:ind w:right="-109"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Відкрита наука — підхід до наукового процесу на основі відкритої спільної роботи, інструментів і поширення знань.</w:t>
      </w:r>
    </w:p>
    <w:p w:rsidR="008B7F2E" w:rsidRPr="008B7F2E" w:rsidRDefault="008B7F2E" w:rsidP="008B7F2E">
      <w:pPr>
        <w:widowControl w:val="0"/>
        <w:autoSpaceDE w:val="0"/>
        <w:autoSpaceDN w:val="0"/>
        <w:spacing w:after="0" w:line="240" w:lineRule="auto"/>
        <w:ind w:right="-109"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Управління дослідницькими даними — процес у життєвому циклі дослідження, який включає організацію, зберігання, збереження, безпеку, забезпечення якості, розподіл постійних ідентифікаторів (PID), а також правила та процедури для обміну даними, включаючи ліцензування.</w:t>
      </w:r>
    </w:p>
    <w:p w:rsidR="008B7F2E" w:rsidRPr="008B7F2E" w:rsidRDefault="008B7F2E" w:rsidP="008B7F2E">
      <w:pPr>
        <w:widowControl w:val="0"/>
        <w:autoSpaceDE w:val="0"/>
        <w:autoSpaceDN w:val="0"/>
        <w:spacing w:after="0" w:line="240" w:lineRule="auto"/>
        <w:ind w:right="-109"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Результати досліджень — результати, до яких можна надати доступ у формі </w:t>
      </w:r>
      <w:r w:rsidRPr="008B7F2E">
        <w:rPr>
          <w:rFonts w:ascii="Times New Roman" w:eastAsia="Times New Roman" w:hAnsi="Times New Roman" w:cs="Times New Roman"/>
          <w:sz w:val="28"/>
          <w:szCs w:val="28"/>
          <w:lang w:val="uk-UA"/>
        </w:rPr>
        <w:lastRenderedPageBreak/>
        <w:t>наукових публікацій, даних або інших інженерних результатів і процесів, таких як програмне забезпечення, алгоритми, протоколи, моделі, робочі процеси та електронні блокноти.</w:t>
      </w:r>
    </w:p>
    <w:p w:rsidR="008B7F2E" w:rsidRDefault="008B7F2E" w:rsidP="008B7F2E">
      <w:pPr>
        <w:widowControl w:val="0"/>
        <w:autoSpaceDE w:val="0"/>
        <w:autoSpaceDN w:val="0"/>
        <w:spacing w:after="0" w:line="240" w:lineRule="auto"/>
        <w:ind w:firstLine="567"/>
        <w:outlineLvl w:val="0"/>
        <w:rPr>
          <w:rFonts w:ascii="Times New Roman" w:eastAsia="Times New Roman" w:hAnsi="Times New Roman" w:cs="Times New Roman"/>
          <w:b/>
          <w:bCs/>
          <w:sz w:val="28"/>
          <w:szCs w:val="28"/>
          <w:lang w:val="uk-UA"/>
        </w:rPr>
      </w:pPr>
    </w:p>
    <w:p w:rsidR="008B7F2E" w:rsidRPr="008B7F2E" w:rsidRDefault="008B7F2E" w:rsidP="008B7F2E">
      <w:pPr>
        <w:widowControl w:val="0"/>
        <w:autoSpaceDE w:val="0"/>
        <w:autoSpaceDN w:val="0"/>
        <w:spacing w:after="0" w:line="240" w:lineRule="auto"/>
        <w:ind w:firstLine="567"/>
        <w:outlineLvl w:val="0"/>
        <w:rPr>
          <w:rFonts w:ascii="Times New Roman" w:eastAsia="Times New Roman" w:hAnsi="Times New Roman" w:cs="Times New Roman"/>
          <w:b/>
          <w:bCs/>
          <w:sz w:val="28"/>
          <w:szCs w:val="28"/>
          <w:lang w:val="uk-UA"/>
        </w:rPr>
      </w:pPr>
      <w:r w:rsidRPr="008B7F2E">
        <w:rPr>
          <w:rFonts w:ascii="Times New Roman" w:eastAsia="Times New Roman" w:hAnsi="Times New Roman" w:cs="Times New Roman"/>
          <w:b/>
          <w:bCs/>
          <w:sz w:val="28"/>
          <w:szCs w:val="28"/>
          <w:lang w:val="uk-UA"/>
        </w:rPr>
        <w:t>Право власності на результати</w:t>
      </w:r>
    </w:p>
    <w:p w:rsidR="008B7F2E" w:rsidRPr="008B7F2E" w:rsidRDefault="008B7F2E" w:rsidP="008B7F2E">
      <w:pPr>
        <w:widowControl w:val="0"/>
        <w:autoSpaceDE w:val="0"/>
        <w:autoSpaceDN w:val="0"/>
        <w:spacing w:after="0" w:line="240" w:lineRule="auto"/>
        <w:ind w:right="32"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Результати належать </w:t>
      </w:r>
      <w:proofErr w:type="spellStart"/>
      <w:r w:rsidRPr="008B7F2E">
        <w:rPr>
          <w:rFonts w:ascii="Times New Roman" w:eastAsia="Times New Roman" w:hAnsi="Times New Roman" w:cs="Times New Roman"/>
          <w:sz w:val="28"/>
          <w:szCs w:val="28"/>
          <w:lang w:val="uk-UA"/>
        </w:rPr>
        <w:t>бенефіціарам</w:t>
      </w:r>
      <w:proofErr w:type="spellEnd"/>
      <w:r w:rsidRPr="008B7F2E">
        <w:rPr>
          <w:rFonts w:ascii="Times New Roman" w:eastAsia="Times New Roman" w:hAnsi="Times New Roman" w:cs="Times New Roman"/>
          <w:sz w:val="28"/>
          <w:szCs w:val="28"/>
          <w:lang w:val="uk-UA"/>
        </w:rPr>
        <w:t xml:space="preserve">, які їх генерують. Однак два або більше </w:t>
      </w:r>
      <w:proofErr w:type="spellStart"/>
      <w:r w:rsidRPr="008B7F2E">
        <w:rPr>
          <w:rFonts w:ascii="Times New Roman" w:eastAsia="Times New Roman" w:hAnsi="Times New Roman" w:cs="Times New Roman"/>
          <w:sz w:val="28"/>
          <w:szCs w:val="28"/>
          <w:lang w:val="uk-UA"/>
        </w:rPr>
        <w:t>бенефіціарів</w:t>
      </w:r>
      <w:proofErr w:type="spellEnd"/>
      <w:r w:rsidRPr="008B7F2E">
        <w:rPr>
          <w:rFonts w:ascii="Times New Roman" w:eastAsia="Times New Roman" w:hAnsi="Times New Roman" w:cs="Times New Roman"/>
          <w:sz w:val="28"/>
          <w:szCs w:val="28"/>
          <w:lang w:val="uk-UA"/>
        </w:rPr>
        <w:t xml:space="preserve"> спільно володіють результатами, якщо:</w:t>
      </w:r>
    </w:p>
    <w:p w:rsidR="008B7F2E" w:rsidRPr="008B7F2E" w:rsidRDefault="008B7F2E" w:rsidP="008B7F2E">
      <w:pPr>
        <w:widowControl w:val="0"/>
        <w:numPr>
          <w:ilvl w:val="0"/>
          <w:numId w:val="1"/>
        </w:numPr>
        <w:tabs>
          <w:tab w:val="left" w:pos="825"/>
        </w:tabs>
        <w:autoSpaceDE w:val="0"/>
        <w:autoSpaceDN w:val="0"/>
        <w:spacing w:after="0" w:line="240" w:lineRule="auto"/>
        <w:ind w:left="824" w:right="32"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вони спільно створили їх і</w:t>
      </w:r>
    </w:p>
    <w:p w:rsidR="008B7F2E" w:rsidRPr="008B7F2E" w:rsidRDefault="008B7F2E" w:rsidP="008B7F2E">
      <w:pPr>
        <w:widowControl w:val="0"/>
        <w:numPr>
          <w:ilvl w:val="0"/>
          <w:numId w:val="1"/>
        </w:numPr>
        <w:tabs>
          <w:tab w:val="left" w:pos="825"/>
        </w:tabs>
        <w:autoSpaceDE w:val="0"/>
        <w:autoSpaceDN w:val="0"/>
        <w:spacing w:after="0" w:line="240" w:lineRule="auto"/>
        <w:ind w:left="824" w:right="32"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неможливо:</w:t>
      </w:r>
    </w:p>
    <w:p w:rsidR="008B7F2E" w:rsidRPr="008B7F2E" w:rsidRDefault="008B7F2E" w:rsidP="008B7F2E">
      <w:pPr>
        <w:widowControl w:val="0"/>
        <w:numPr>
          <w:ilvl w:val="1"/>
          <w:numId w:val="1"/>
        </w:numPr>
        <w:tabs>
          <w:tab w:val="left" w:pos="1394"/>
        </w:tabs>
        <w:autoSpaceDE w:val="0"/>
        <w:autoSpaceDN w:val="0"/>
        <w:spacing w:after="0" w:line="240" w:lineRule="auto"/>
        <w:ind w:right="32"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встановити відповідний внесок кожного </w:t>
      </w:r>
      <w:proofErr w:type="spellStart"/>
      <w:r w:rsidRPr="008B7F2E">
        <w:rPr>
          <w:rFonts w:ascii="Times New Roman" w:eastAsia="Times New Roman" w:hAnsi="Times New Roman" w:cs="Times New Roman"/>
          <w:sz w:val="28"/>
          <w:szCs w:val="28"/>
          <w:lang w:val="uk-UA"/>
        </w:rPr>
        <w:t>бенефіціара</w:t>
      </w:r>
      <w:proofErr w:type="spellEnd"/>
      <w:r w:rsidRPr="008B7F2E">
        <w:rPr>
          <w:rFonts w:ascii="Times New Roman" w:eastAsia="Times New Roman" w:hAnsi="Times New Roman" w:cs="Times New Roman"/>
          <w:sz w:val="28"/>
          <w:szCs w:val="28"/>
          <w:lang w:val="uk-UA"/>
        </w:rPr>
        <w:t>, або</w:t>
      </w:r>
    </w:p>
    <w:p w:rsidR="008B7F2E" w:rsidRPr="008B7F2E" w:rsidRDefault="008B7F2E" w:rsidP="008B7F2E">
      <w:pPr>
        <w:widowControl w:val="0"/>
        <w:numPr>
          <w:ilvl w:val="1"/>
          <w:numId w:val="1"/>
        </w:numPr>
        <w:tabs>
          <w:tab w:val="left" w:pos="1394"/>
        </w:tabs>
        <w:autoSpaceDE w:val="0"/>
        <w:autoSpaceDN w:val="0"/>
        <w:spacing w:after="0" w:line="240" w:lineRule="auto"/>
        <w:ind w:right="32"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відокремлювати їх з метою подання заявки, отримання або збереження їхнього захисту.</w:t>
      </w:r>
    </w:p>
    <w:p w:rsidR="008B7F2E" w:rsidRPr="008B7F2E" w:rsidRDefault="008B7F2E" w:rsidP="008B7F2E">
      <w:pPr>
        <w:widowControl w:val="0"/>
        <w:autoSpaceDE w:val="0"/>
        <w:autoSpaceDN w:val="0"/>
        <w:spacing w:after="0" w:line="240" w:lineRule="auto"/>
        <w:ind w:right="339"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Спільні власники повинні домовитися — у письмовій формі — про розподіл та умови здійснення своєї спільної власності («договір про спільне володіння»), щоб забезпечити дотримання своїх зобов’язань за цією Угодою.</w:t>
      </w:r>
    </w:p>
    <w:p w:rsidR="008B7F2E" w:rsidRPr="008B7F2E" w:rsidRDefault="008B7F2E" w:rsidP="008B7F2E">
      <w:pPr>
        <w:widowControl w:val="0"/>
        <w:autoSpaceDE w:val="0"/>
        <w:autoSpaceDN w:val="0"/>
        <w:spacing w:after="0" w:line="240" w:lineRule="auto"/>
        <w:ind w:right="334"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Якщо інше не погоджено в угоді про спільне володіння чи угоді про консорціум, кожен спільний власник може надавати невиключні ліцензії третім особам на використання результатів спільної власності (без будь-якого права </w:t>
      </w:r>
      <w:proofErr w:type="spellStart"/>
      <w:r w:rsidRPr="008B7F2E">
        <w:rPr>
          <w:rFonts w:ascii="Times New Roman" w:eastAsia="Times New Roman" w:hAnsi="Times New Roman" w:cs="Times New Roman"/>
          <w:sz w:val="28"/>
          <w:szCs w:val="28"/>
          <w:lang w:val="uk-UA"/>
        </w:rPr>
        <w:t>субліцензування</w:t>
      </w:r>
      <w:proofErr w:type="spellEnd"/>
      <w:r w:rsidRPr="008B7F2E">
        <w:rPr>
          <w:rFonts w:ascii="Times New Roman" w:eastAsia="Times New Roman" w:hAnsi="Times New Roman" w:cs="Times New Roman"/>
          <w:sz w:val="28"/>
          <w:szCs w:val="28"/>
          <w:lang w:val="uk-UA"/>
        </w:rPr>
        <w:t>), якщо іншим співвласникам надано:</w:t>
      </w:r>
    </w:p>
    <w:p w:rsidR="008B7F2E" w:rsidRPr="008B7F2E" w:rsidRDefault="008B7F2E" w:rsidP="008B7F2E">
      <w:pPr>
        <w:widowControl w:val="0"/>
        <w:numPr>
          <w:ilvl w:val="0"/>
          <w:numId w:val="1"/>
        </w:numPr>
        <w:tabs>
          <w:tab w:val="left" w:pos="825"/>
        </w:tabs>
        <w:autoSpaceDE w:val="0"/>
        <w:autoSpaceDN w:val="0"/>
        <w:spacing w:after="0" w:line="240" w:lineRule="auto"/>
        <w:ind w:left="824"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принаймні за 45 днів попереднє повідомлення та</w:t>
      </w:r>
    </w:p>
    <w:p w:rsidR="008B7F2E" w:rsidRPr="008B7F2E" w:rsidRDefault="008B7F2E" w:rsidP="008B7F2E">
      <w:pPr>
        <w:widowControl w:val="0"/>
        <w:numPr>
          <w:ilvl w:val="0"/>
          <w:numId w:val="1"/>
        </w:numPr>
        <w:tabs>
          <w:tab w:val="left" w:pos="825"/>
        </w:tabs>
        <w:autoSpaceDE w:val="0"/>
        <w:autoSpaceDN w:val="0"/>
        <w:spacing w:after="0" w:line="240" w:lineRule="auto"/>
        <w:ind w:left="824"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справедливу та розумну компенсацію.</w:t>
      </w:r>
    </w:p>
    <w:p w:rsidR="008B7F2E" w:rsidRPr="008B7F2E" w:rsidRDefault="008B7F2E" w:rsidP="008B7F2E">
      <w:pPr>
        <w:widowControl w:val="0"/>
        <w:autoSpaceDE w:val="0"/>
        <w:autoSpaceDN w:val="0"/>
        <w:spacing w:after="0" w:line="240" w:lineRule="auto"/>
        <w:ind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Спільні власники можуть домовитися — у письмовій формі — про застосування іншого режиму, ніж спільна власність.</w:t>
      </w:r>
    </w:p>
    <w:p w:rsidR="008B7F2E" w:rsidRPr="008B7F2E" w:rsidRDefault="008B7F2E" w:rsidP="008B7F2E">
      <w:pPr>
        <w:widowControl w:val="0"/>
        <w:autoSpaceDE w:val="0"/>
        <w:autoSpaceDN w:val="0"/>
        <w:spacing w:after="0" w:line="240" w:lineRule="auto"/>
        <w:ind w:right="337"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Якщо треті сторони (включно зі співробітниками та іншим персоналом) можуть претендувати на права на результати, зацікавлений бенефіціар повинен забезпечити можливість реалізації цих прав у спосіб, сумісний із його зобов’язаннями за Угодою.</w:t>
      </w:r>
    </w:p>
    <w:p w:rsidR="008B7F2E" w:rsidRPr="008B7F2E" w:rsidRDefault="008B7F2E" w:rsidP="008B7F2E">
      <w:pPr>
        <w:widowControl w:val="0"/>
        <w:autoSpaceDE w:val="0"/>
        <w:autoSpaceDN w:val="0"/>
        <w:spacing w:after="0" w:line="240" w:lineRule="auto"/>
        <w:ind w:right="345"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вказати власника (власників) результатів (перелік прав власності на результати) у остаточному періодичному звіті.</w:t>
      </w:r>
    </w:p>
    <w:p w:rsidR="008B7F2E" w:rsidRDefault="008B7F2E" w:rsidP="008B7F2E">
      <w:pPr>
        <w:widowControl w:val="0"/>
        <w:autoSpaceDE w:val="0"/>
        <w:autoSpaceDN w:val="0"/>
        <w:spacing w:after="0" w:line="240" w:lineRule="auto"/>
        <w:ind w:firstLine="567"/>
        <w:jc w:val="both"/>
        <w:outlineLvl w:val="0"/>
        <w:rPr>
          <w:rFonts w:ascii="Times New Roman" w:eastAsia="Times New Roman" w:hAnsi="Times New Roman" w:cs="Times New Roman"/>
          <w:b/>
          <w:bCs/>
          <w:sz w:val="28"/>
          <w:szCs w:val="28"/>
          <w:lang w:val="uk-UA"/>
        </w:rPr>
      </w:pPr>
    </w:p>
    <w:p w:rsidR="008B7F2E" w:rsidRPr="008B7F2E" w:rsidRDefault="008B7F2E" w:rsidP="008B7F2E">
      <w:pPr>
        <w:widowControl w:val="0"/>
        <w:autoSpaceDE w:val="0"/>
        <w:autoSpaceDN w:val="0"/>
        <w:spacing w:after="0" w:line="240" w:lineRule="auto"/>
        <w:ind w:firstLine="567"/>
        <w:jc w:val="both"/>
        <w:outlineLvl w:val="0"/>
        <w:rPr>
          <w:rFonts w:ascii="Times New Roman" w:eastAsia="Times New Roman" w:hAnsi="Times New Roman" w:cs="Times New Roman"/>
          <w:b/>
          <w:bCs/>
          <w:sz w:val="28"/>
          <w:szCs w:val="28"/>
          <w:lang w:val="uk-UA"/>
        </w:rPr>
      </w:pPr>
      <w:r w:rsidRPr="008B7F2E">
        <w:rPr>
          <w:rFonts w:ascii="Times New Roman" w:eastAsia="Times New Roman" w:hAnsi="Times New Roman" w:cs="Times New Roman"/>
          <w:b/>
          <w:bCs/>
          <w:sz w:val="28"/>
          <w:szCs w:val="28"/>
          <w:lang w:val="uk-UA"/>
        </w:rPr>
        <w:t>Захист результатів</w:t>
      </w:r>
    </w:p>
    <w:p w:rsidR="008B7F2E" w:rsidRPr="008B7F2E" w:rsidRDefault="008B7F2E" w:rsidP="008B7F2E">
      <w:pPr>
        <w:widowControl w:val="0"/>
        <w:autoSpaceDE w:val="0"/>
        <w:autoSpaceDN w:val="0"/>
        <w:spacing w:after="0" w:line="240" w:lineRule="auto"/>
        <w:ind w:right="333"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які отримали фінансування в рамках гранту, повинні належним чином захистити свої результати — протягом відповідного періоду та з відповідним територіальним охопленням — якщо захист можливий і виправданий, беручи до уваги всі відповідні міркування, включаючи перспективи комерційного використання, законні інтереси інші </w:t>
      </w: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та будь-які інші законні інтереси.</w:t>
      </w:r>
    </w:p>
    <w:p w:rsidR="008B7F2E" w:rsidRPr="008B7F2E" w:rsidRDefault="008B7F2E" w:rsidP="008B7F2E">
      <w:pPr>
        <w:widowControl w:val="0"/>
        <w:autoSpaceDE w:val="0"/>
        <w:autoSpaceDN w:val="0"/>
        <w:spacing w:after="0" w:line="240" w:lineRule="auto"/>
        <w:ind w:firstLine="567"/>
        <w:jc w:val="both"/>
        <w:outlineLvl w:val="0"/>
        <w:rPr>
          <w:rFonts w:ascii="Times New Roman" w:eastAsia="Times New Roman" w:hAnsi="Times New Roman" w:cs="Times New Roman"/>
          <w:b/>
          <w:bCs/>
          <w:sz w:val="28"/>
          <w:szCs w:val="28"/>
          <w:lang w:val="uk-UA"/>
        </w:rPr>
      </w:pPr>
      <w:r w:rsidRPr="008B7F2E">
        <w:rPr>
          <w:rFonts w:ascii="Times New Roman" w:eastAsia="Times New Roman" w:hAnsi="Times New Roman" w:cs="Times New Roman"/>
          <w:b/>
          <w:bCs/>
          <w:sz w:val="28"/>
          <w:szCs w:val="28"/>
          <w:lang w:val="uk-UA"/>
        </w:rPr>
        <w:t>Експлуатація результатів</w:t>
      </w:r>
    </w:p>
    <w:p w:rsidR="008B7F2E" w:rsidRPr="008B7F2E" w:rsidRDefault="008B7F2E" w:rsidP="008B7F2E">
      <w:pPr>
        <w:widowControl w:val="0"/>
        <w:autoSpaceDE w:val="0"/>
        <w:autoSpaceDN w:val="0"/>
        <w:spacing w:after="0" w:line="240" w:lineRule="auto"/>
        <w:ind w:right="332"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які отримали фінансування в рамках гранту, повинні — протягом чотирьох років після завершення проекту (див. Таблицю даних, пункт 1) — докласти всіх зусиль, щоб безпосередньо використовувати свої результати або опосередковано використати їх іншою організацією, зокрема через передачу або ліцензування.</w:t>
      </w:r>
    </w:p>
    <w:p w:rsidR="008B7F2E" w:rsidRPr="008B7F2E" w:rsidRDefault="008B7F2E" w:rsidP="008B7F2E">
      <w:pPr>
        <w:widowControl w:val="0"/>
        <w:autoSpaceDE w:val="0"/>
        <w:autoSpaceDN w:val="0"/>
        <w:spacing w:after="0" w:line="240" w:lineRule="auto"/>
        <w:ind w:right="334"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lastRenderedPageBreak/>
        <w:t xml:space="preserve">Якщо, незважаючи на всі зусилля </w:t>
      </w:r>
      <w:proofErr w:type="spellStart"/>
      <w:r w:rsidRPr="008B7F2E">
        <w:rPr>
          <w:rFonts w:ascii="Times New Roman" w:eastAsia="Times New Roman" w:hAnsi="Times New Roman" w:cs="Times New Roman"/>
          <w:sz w:val="28"/>
          <w:szCs w:val="28"/>
          <w:lang w:val="uk-UA"/>
        </w:rPr>
        <w:t>бенефіціара</w:t>
      </w:r>
      <w:proofErr w:type="spellEnd"/>
      <w:r w:rsidRPr="008B7F2E">
        <w:rPr>
          <w:rFonts w:ascii="Times New Roman" w:eastAsia="Times New Roman" w:hAnsi="Times New Roman" w:cs="Times New Roman"/>
          <w:sz w:val="28"/>
          <w:szCs w:val="28"/>
          <w:lang w:val="uk-UA"/>
        </w:rPr>
        <w:t xml:space="preserve">, результати не будуть використані протягом одного року після завершення проекту, </w:t>
      </w: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(якщо інше не погоджено в письмовій формі з органом, що надає грант) використовувати платформу </w:t>
      </w:r>
      <w:proofErr w:type="spellStart"/>
      <w:r w:rsidRPr="008B7F2E">
        <w:rPr>
          <w:rFonts w:ascii="Times New Roman" w:eastAsia="Times New Roman" w:hAnsi="Times New Roman" w:cs="Times New Roman"/>
          <w:sz w:val="28"/>
          <w:szCs w:val="28"/>
          <w:lang w:val="uk-UA"/>
        </w:rPr>
        <w:t>Horizon</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Results</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Platform</w:t>
      </w:r>
      <w:proofErr w:type="spellEnd"/>
      <w:r w:rsidRPr="008B7F2E">
        <w:rPr>
          <w:rFonts w:ascii="Times New Roman" w:eastAsia="Times New Roman" w:hAnsi="Times New Roman" w:cs="Times New Roman"/>
          <w:sz w:val="28"/>
          <w:szCs w:val="28"/>
          <w:lang w:val="uk-UA"/>
        </w:rPr>
        <w:t xml:space="preserve"> для пошуку зацікавлених сторін для використання результатів. .</w:t>
      </w:r>
    </w:p>
    <w:p w:rsidR="008B7F2E" w:rsidRPr="008B7F2E" w:rsidRDefault="008B7F2E" w:rsidP="008B7F2E">
      <w:pPr>
        <w:widowControl w:val="0"/>
        <w:autoSpaceDE w:val="0"/>
        <w:autoSpaceDN w:val="0"/>
        <w:spacing w:after="0" w:line="240" w:lineRule="auto"/>
        <w:ind w:firstLine="567"/>
        <w:jc w:val="both"/>
        <w:outlineLvl w:val="0"/>
        <w:rPr>
          <w:rFonts w:ascii="Times New Roman" w:eastAsia="Times New Roman" w:hAnsi="Times New Roman" w:cs="Times New Roman"/>
          <w:b/>
          <w:bCs/>
          <w:sz w:val="28"/>
          <w:szCs w:val="28"/>
          <w:lang w:val="uk-UA"/>
        </w:rPr>
      </w:pPr>
      <w:r w:rsidRPr="008B7F2E">
        <w:rPr>
          <w:rFonts w:ascii="Times New Roman" w:eastAsia="Times New Roman" w:hAnsi="Times New Roman" w:cs="Times New Roman"/>
          <w:b/>
          <w:bCs/>
          <w:sz w:val="28"/>
          <w:szCs w:val="28"/>
          <w:lang w:val="uk-UA"/>
        </w:rPr>
        <w:t>Передача та ліцензування результатів</w:t>
      </w:r>
    </w:p>
    <w:p w:rsidR="008B7F2E" w:rsidRPr="008B7F2E" w:rsidRDefault="008B7F2E" w:rsidP="008B7F2E">
      <w:pPr>
        <w:widowControl w:val="0"/>
        <w:autoSpaceDE w:val="0"/>
        <w:autoSpaceDN w:val="0"/>
        <w:spacing w:after="0" w:line="240" w:lineRule="auto"/>
        <w:ind w:firstLine="567"/>
        <w:jc w:val="both"/>
        <w:rPr>
          <w:rFonts w:ascii="Times New Roman" w:eastAsia="Times New Roman" w:hAnsi="Times New Roman" w:cs="Times New Roman"/>
          <w:i/>
          <w:sz w:val="28"/>
          <w:szCs w:val="28"/>
          <w:lang w:val="uk-UA"/>
        </w:rPr>
      </w:pPr>
      <w:r w:rsidRPr="008B7F2E">
        <w:rPr>
          <w:rFonts w:ascii="Times New Roman" w:eastAsia="Times New Roman" w:hAnsi="Times New Roman" w:cs="Times New Roman"/>
          <w:i/>
          <w:sz w:val="28"/>
          <w:szCs w:val="28"/>
          <w:u w:val="single"/>
          <w:lang w:val="uk-UA"/>
        </w:rPr>
        <w:t>Перехід права власності</w:t>
      </w:r>
    </w:p>
    <w:p w:rsidR="008B7F2E" w:rsidRPr="008B7F2E" w:rsidRDefault="008B7F2E" w:rsidP="008B7F2E">
      <w:pPr>
        <w:widowControl w:val="0"/>
        <w:autoSpaceDE w:val="0"/>
        <w:autoSpaceDN w:val="0"/>
        <w:spacing w:after="0" w:line="240" w:lineRule="auto"/>
        <w:ind w:right="339"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можуть передавати право власності на свої результати за умови, що це не впливає на дотримання ними зобов’язань за Угодою.</w:t>
      </w:r>
    </w:p>
    <w:p w:rsidR="008B7F2E" w:rsidRPr="008B7F2E" w:rsidRDefault="008B7F2E" w:rsidP="008B7F2E">
      <w:pPr>
        <w:widowControl w:val="0"/>
        <w:autoSpaceDE w:val="0"/>
        <w:autoSpaceDN w:val="0"/>
        <w:spacing w:after="0" w:line="240" w:lineRule="auto"/>
        <w:ind w:right="335"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переконатися, що їхні зобов’язання за Угодою щодо їх результатів передано новому власнику, і що цей новий власник зобов’язаний передати їх у будь-якій наступній передачі.</w:t>
      </w:r>
    </w:p>
    <w:p w:rsidR="008B7F2E" w:rsidRPr="008B7F2E" w:rsidRDefault="008B7F2E" w:rsidP="008B7F2E">
      <w:pPr>
        <w:widowControl w:val="0"/>
        <w:autoSpaceDE w:val="0"/>
        <w:autoSpaceDN w:val="0"/>
        <w:spacing w:after="0" w:line="240" w:lineRule="auto"/>
        <w:ind w:right="331"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Крім того, вони повинні повідомити інших </w:t>
      </w:r>
      <w:proofErr w:type="spellStart"/>
      <w:r w:rsidRPr="008B7F2E">
        <w:rPr>
          <w:rFonts w:ascii="Times New Roman" w:eastAsia="Times New Roman" w:hAnsi="Times New Roman" w:cs="Times New Roman"/>
          <w:sz w:val="28"/>
          <w:szCs w:val="28"/>
          <w:lang w:val="uk-UA"/>
        </w:rPr>
        <w:t>бенефіціарів</w:t>
      </w:r>
      <w:proofErr w:type="spellEnd"/>
      <w:r w:rsidRPr="008B7F2E">
        <w:rPr>
          <w:rFonts w:ascii="Times New Roman" w:eastAsia="Times New Roman" w:hAnsi="Times New Roman" w:cs="Times New Roman"/>
          <w:sz w:val="28"/>
          <w:szCs w:val="28"/>
          <w:lang w:val="uk-UA"/>
        </w:rPr>
        <w:t xml:space="preserve"> з правами доступу про передачу принаймні за 45 днів (або менше, якщо це домовлено в письмовій формі), якщо інше не домовлено в письмовій формі для конкретно визначених третіх сторін, включаючи афілійовані особи, або якщо це неможливо відповідно до чинного законодавства. Це повідомлення має містити достатню інформацію про нового власника, щоб дати можливість відповідним </w:t>
      </w:r>
      <w:proofErr w:type="spellStart"/>
      <w:r w:rsidRPr="008B7F2E">
        <w:rPr>
          <w:rFonts w:ascii="Times New Roman" w:eastAsia="Times New Roman" w:hAnsi="Times New Roman" w:cs="Times New Roman"/>
          <w:sz w:val="28"/>
          <w:szCs w:val="28"/>
          <w:lang w:val="uk-UA"/>
        </w:rPr>
        <w:t>бенефіціарам</w:t>
      </w:r>
      <w:proofErr w:type="spellEnd"/>
      <w:r w:rsidRPr="008B7F2E">
        <w:rPr>
          <w:rFonts w:ascii="Times New Roman" w:eastAsia="Times New Roman" w:hAnsi="Times New Roman" w:cs="Times New Roman"/>
          <w:sz w:val="28"/>
          <w:szCs w:val="28"/>
          <w:lang w:val="uk-UA"/>
        </w:rPr>
        <w:t xml:space="preserve"> оцінити вплив на їхні права доступу. </w:t>
      </w: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можуть заперечити протягом 30 днів після отримання повідомлення (або менше, якщо це погоджено письмово), якщо вони зможуть довести, що передача негативно вплине на їхні права доступу. У цьому випадку передача може не відбутися, доки не буде досягнуто згоди між зацікавленими </w:t>
      </w:r>
      <w:proofErr w:type="spellStart"/>
      <w:r w:rsidRPr="008B7F2E">
        <w:rPr>
          <w:rFonts w:ascii="Times New Roman" w:eastAsia="Times New Roman" w:hAnsi="Times New Roman" w:cs="Times New Roman"/>
          <w:sz w:val="28"/>
          <w:szCs w:val="28"/>
          <w:lang w:val="uk-UA"/>
        </w:rPr>
        <w:t>бенефіціарами</w:t>
      </w:r>
      <w:proofErr w:type="spellEnd"/>
      <w:r w:rsidRPr="008B7F2E">
        <w:rPr>
          <w:rFonts w:ascii="Times New Roman" w:eastAsia="Times New Roman" w:hAnsi="Times New Roman" w:cs="Times New Roman"/>
          <w:sz w:val="28"/>
          <w:szCs w:val="28"/>
          <w:lang w:val="uk-UA"/>
        </w:rPr>
        <w:t>.</w:t>
      </w:r>
    </w:p>
    <w:p w:rsidR="008B7F2E" w:rsidRPr="008B7F2E" w:rsidRDefault="008B7F2E" w:rsidP="008B7F2E">
      <w:pPr>
        <w:widowControl w:val="0"/>
        <w:autoSpaceDE w:val="0"/>
        <w:autoSpaceDN w:val="0"/>
        <w:spacing w:after="0" w:line="240" w:lineRule="auto"/>
        <w:ind w:right="32" w:firstLine="567"/>
        <w:jc w:val="both"/>
        <w:outlineLvl w:val="0"/>
        <w:rPr>
          <w:rFonts w:ascii="Times New Roman" w:eastAsia="Times New Roman" w:hAnsi="Times New Roman" w:cs="Times New Roman"/>
          <w:b/>
          <w:bCs/>
          <w:sz w:val="28"/>
          <w:szCs w:val="28"/>
          <w:lang w:val="uk-UA"/>
        </w:rPr>
      </w:pPr>
      <w:r w:rsidRPr="008B7F2E">
        <w:rPr>
          <w:rFonts w:ascii="Times New Roman" w:eastAsia="Times New Roman" w:hAnsi="Times New Roman" w:cs="Times New Roman"/>
          <w:b/>
          <w:bCs/>
          <w:sz w:val="28"/>
          <w:szCs w:val="28"/>
          <w:lang w:val="uk-UA"/>
        </w:rPr>
        <w:t>Права доступу до результатів і фону</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i/>
          <w:sz w:val="28"/>
          <w:szCs w:val="28"/>
          <w:lang w:val="uk-UA"/>
        </w:rPr>
      </w:pPr>
      <w:r w:rsidRPr="008B7F2E">
        <w:rPr>
          <w:rFonts w:ascii="Times New Roman" w:eastAsia="Times New Roman" w:hAnsi="Times New Roman" w:cs="Times New Roman"/>
          <w:i/>
          <w:sz w:val="28"/>
          <w:szCs w:val="28"/>
          <w:u w:val="single"/>
          <w:lang w:val="uk-UA"/>
        </w:rPr>
        <w:t xml:space="preserve">Здійснення прав доступу — Відмова від прав доступу — Без </w:t>
      </w:r>
      <w:proofErr w:type="spellStart"/>
      <w:r w:rsidRPr="008B7F2E">
        <w:rPr>
          <w:rFonts w:ascii="Times New Roman" w:eastAsia="Times New Roman" w:hAnsi="Times New Roman" w:cs="Times New Roman"/>
          <w:i/>
          <w:sz w:val="28"/>
          <w:szCs w:val="28"/>
          <w:u w:val="single"/>
          <w:lang w:val="uk-UA"/>
        </w:rPr>
        <w:t>субліцензування</w:t>
      </w:r>
      <w:proofErr w:type="spellEnd"/>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Запити на реалізацію прав доступу та відмова від прав доступу повинні бути письмовими.</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Якщо інше не погоджено в письмовій формі з </w:t>
      </w:r>
      <w:proofErr w:type="spellStart"/>
      <w:r w:rsidRPr="008B7F2E">
        <w:rPr>
          <w:rFonts w:ascii="Times New Roman" w:eastAsia="Times New Roman" w:hAnsi="Times New Roman" w:cs="Times New Roman"/>
          <w:sz w:val="28"/>
          <w:szCs w:val="28"/>
          <w:lang w:val="uk-UA"/>
        </w:rPr>
        <w:t>бенефіціаром</w:t>
      </w:r>
      <w:proofErr w:type="spellEnd"/>
      <w:r w:rsidRPr="008B7F2E">
        <w:rPr>
          <w:rFonts w:ascii="Times New Roman" w:eastAsia="Times New Roman" w:hAnsi="Times New Roman" w:cs="Times New Roman"/>
          <w:sz w:val="28"/>
          <w:szCs w:val="28"/>
          <w:lang w:val="uk-UA"/>
        </w:rPr>
        <w:t xml:space="preserve">, який надає доступ, права доступу не включають право </w:t>
      </w:r>
      <w:proofErr w:type="spellStart"/>
      <w:r w:rsidRPr="008B7F2E">
        <w:rPr>
          <w:rFonts w:ascii="Times New Roman" w:eastAsia="Times New Roman" w:hAnsi="Times New Roman" w:cs="Times New Roman"/>
          <w:sz w:val="28"/>
          <w:szCs w:val="28"/>
          <w:lang w:val="uk-UA"/>
        </w:rPr>
        <w:t>субліцензії</w:t>
      </w:r>
      <w:proofErr w:type="spellEnd"/>
      <w:r w:rsidRPr="008B7F2E">
        <w:rPr>
          <w:rFonts w:ascii="Times New Roman" w:eastAsia="Times New Roman" w:hAnsi="Times New Roman" w:cs="Times New Roman"/>
          <w:sz w:val="28"/>
          <w:szCs w:val="28"/>
          <w:lang w:val="uk-UA"/>
        </w:rPr>
        <w:t>.</w:t>
      </w:r>
    </w:p>
    <w:p w:rsidR="008B7F2E" w:rsidRPr="008B7F2E" w:rsidRDefault="008B7F2E" w:rsidP="008B7F2E">
      <w:pPr>
        <w:spacing w:after="0" w:line="240" w:lineRule="auto"/>
        <w:ind w:firstLine="567"/>
        <w:rPr>
          <w:rFonts w:ascii="Times New Roman" w:eastAsia="Times New Roman" w:hAnsi="Times New Roman" w:cs="Times New Roman"/>
          <w:sz w:val="28"/>
          <w:szCs w:val="28"/>
          <w:lang w:val="uk-UA"/>
        </w:rPr>
      </w:pPr>
    </w:p>
    <w:p w:rsidR="008B7F2E" w:rsidRPr="008B7F2E" w:rsidRDefault="008B7F2E" w:rsidP="008B7F2E">
      <w:pPr>
        <w:widowControl w:val="0"/>
        <w:autoSpaceDE w:val="0"/>
        <w:autoSpaceDN w:val="0"/>
        <w:spacing w:after="0" w:line="240" w:lineRule="auto"/>
        <w:ind w:right="340"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Якщо бенефіціар більше не бере участі в дії, це не впливає на його зобов’язання щодо надання доступу.</w:t>
      </w:r>
    </w:p>
    <w:p w:rsidR="008B7F2E" w:rsidRPr="008B7F2E" w:rsidRDefault="008B7F2E" w:rsidP="008B7F2E">
      <w:pPr>
        <w:widowControl w:val="0"/>
        <w:autoSpaceDE w:val="0"/>
        <w:autoSpaceDN w:val="0"/>
        <w:spacing w:after="0" w:line="240" w:lineRule="auto"/>
        <w:ind w:right="336"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Якщо бенефіціар не виконує своїх зобов’язань, </w:t>
      </w: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можуть погодитися, що цей бенефіціар більше не має прав доступу.</w:t>
      </w:r>
    </w:p>
    <w:p w:rsidR="008B7F2E" w:rsidRDefault="008B7F2E" w:rsidP="008B7F2E">
      <w:pPr>
        <w:widowControl w:val="0"/>
        <w:autoSpaceDE w:val="0"/>
        <w:autoSpaceDN w:val="0"/>
        <w:spacing w:after="0" w:line="242" w:lineRule="auto"/>
        <w:ind w:right="332" w:firstLine="567"/>
        <w:jc w:val="both"/>
        <w:rPr>
          <w:rFonts w:ascii="Times New Roman" w:eastAsia="Times New Roman" w:hAnsi="Times New Roman" w:cs="Times New Roman"/>
          <w:sz w:val="28"/>
          <w:szCs w:val="28"/>
          <w:lang w:val="uk-UA"/>
        </w:rPr>
      </w:pPr>
    </w:p>
    <w:p w:rsidR="008B7F2E" w:rsidRPr="008B7F2E" w:rsidRDefault="008B7F2E" w:rsidP="008B7F2E">
      <w:pPr>
        <w:widowControl w:val="0"/>
        <w:autoSpaceDE w:val="0"/>
        <w:autoSpaceDN w:val="0"/>
        <w:spacing w:after="0" w:line="242" w:lineRule="auto"/>
        <w:ind w:right="332" w:firstLine="567"/>
        <w:jc w:val="both"/>
        <w:rPr>
          <w:rFonts w:ascii="Times New Roman" w:eastAsia="Times New Roman" w:hAnsi="Times New Roman" w:cs="Times New Roman"/>
          <w:b/>
          <w:sz w:val="28"/>
          <w:szCs w:val="28"/>
          <w:lang w:val="uk-UA"/>
        </w:rPr>
      </w:pPr>
      <w:r w:rsidRPr="008B7F2E">
        <w:rPr>
          <w:rFonts w:ascii="Times New Roman" w:eastAsia="Times New Roman" w:hAnsi="Times New Roman" w:cs="Times New Roman"/>
          <w:b/>
          <w:sz w:val="28"/>
          <w:szCs w:val="28"/>
          <w:u w:val="thick"/>
          <w:lang w:val="uk-UA"/>
        </w:rPr>
        <w:t>КОМУНІКАЦІЯ, РОЗПОВСЮДЖЕННЯ, ВІДКРИТА НАУКА ТА НАЗОРНІСТЬ (</w:t>
      </w:r>
      <w:r w:rsidRPr="008B7F2E">
        <w:rPr>
          <w:rFonts w:ascii="Times New Roman" w:eastAsia="Times New Roman" w:hAnsi="Times New Roman" w:cs="Times New Roman"/>
          <w:sz w:val="28"/>
          <w:szCs w:val="28"/>
          <w:u w:val="thick"/>
          <w:lang w:val="uk-UA"/>
        </w:rPr>
        <w:t>—</w:t>
      </w:r>
      <w:r w:rsidRPr="008B7F2E">
        <w:rPr>
          <w:rFonts w:ascii="Times New Roman" w:eastAsia="Times New Roman" w:hAnsi="Times New Roman" w:cs="Times New Roman"/>
          <w:spacing w:val="1"/>
          <w:sz w:val="28"/>
          <w:szCs w:val="28"/>
          <w:lang w:val="uk-UA"/>
        </w:rPr>
        <w:t xml:space="preserve"> </w:t>
      </w:r>
      <w:r w:rsidRPr="008B7F2E">
        <w:rPr>
          <w:rFonts w:ascii="Times New Roman" w:eastAsia="Times New Roman" w:hAnsi="Times New Roman" w:cs="Times New Roman"/>
          <w:b/>
          <w:sz w:val="28"/>
          <w:szCs w:val="28"/>
          <w:u w:val="thick"/>
          <w:lang w:val="uk-UA"/>
        </w:rPr>
        <w:t>СТАТТЯ 17)</w:t>
      </w:r>
    </w:p>
    <w:p w:rsidR="008B7F2E" w:rsidRPr="008B7F2E" w:rsidRDefault="008B7F2E" w:rsidP="008B7F2E">
      <w:pPr>
        <w:widowControl w:val="0"/>
        <w:autoSpaceDE w:val="0"/>
        <w:autoSpaceDN w:val="0"/>
        <w:spacing w:after="0" w:line="240" w:lineRule="auto"/>
        <w:ind w:firstLine="567"/>
        <w:rPr>
          <w:rFonts w:ascii="Times New Roman" w:eastAsia="Times New Roman" w:hAnsi="Times New Roman" w:cs="Times New Roman"/>
          <w:b/>
          <w:sz w:val="28"/>
          <w:szCs w:val="28"/>
          <w:lang w:val="uk-UA"/>
        </w:rPr>
      </w:pPr>
      <w:r w:rsidRPr="008B7F2E">
        <w:rPr>
          <w:rFonts w:ascii="Times New Roman" w:eastAsia="Times New Roman" w:hAnsi="Times New Roman" w:cs="Times New Roman"/>
          <w:b/>
          <w:sz w:val="28"/>
          <w:szCs w:val="28"/>
          <w:lang w:val="uk-UA"/>
        </w:rPr>
        <w:t>Поширення</w:t>
      </w:r>
    </w:p>
    <w:p w:rsidR="008B7F2E" w:rsidRPr="008B7F2E" w:rsidRDefault="008B7F2E" w:rsidP="008B7F2E">
      <w:pPr>
        <w:widowControl w:val="0"/>
        <w:autoSpaceDE w:val="0"/>
        <w:autoSpaceDN w:val="0"/>
        <w:spacing w:after="0" w:line="240" w:lineRule="auto"/>
        <w:ind w:firstLine="567"/>
        <w:rPr>
          <w:rFonts w:ascii="Times New Roman" w:eastAsia="Times New Roman" w:hAnsi="Times New Roman" w:cs="Times New Roman"/>
          <w:i/>
          <w:sz w:val="28"/>
          <w:szCs w:val="28"/>
          <w:lang w:val="uk-UA"/>
        </w:rPr>
      </w:pPr>
      <w:r w:rsidRPr="008B7F2E">
        <w:rPr>
          <w:rFonts w:ascii="Times New Roman" w:eastAsia="Times New Roman" w:hAnsi="Times New Roman" w:cs="Times New Roman"/>
          <w:i/>
          <w:sz w:val="28"/>
          <w:szCs w:val="28"/>
          <w:u w:val="single"/>
          <w:lang w:val="uk-UA"/>
        </w:rPr>
        <w:t>Поширення результатів</w:t>
      </w:r>
    </w:p>
    <w:p w:rsidR="008B7F2E" w:rsidRPr="008B7F2E" w:rsidRDefault="008B7F2E" w:rsidP="008B7F2E">
      <w:pPr>
        <w:widowControl w:val="0"/>
        <w:autoSpaceDE w:val="0"/>
        <w:autoSpaceDN w:val="0"/>
        <w:spacing w:after="0" w:line="240" w:lineRule="auto"/>
        <w:ind w:right="337"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якомога швидше поширити свої результати у загальнодоступному форматі з урахуванням будь-яких обмежень, пов’язаних </w:t>
      </w:r>
      <w:r w:rsidRPr="008B7F2E">
        <w:rPr>
          <w:rFonts w:ascii="Times New Roman" w:eastAsia="Times New Roman" w:hAnsi="Times New Roman" w:cs="Times New Roman"/>
          <w:sz w:val="28"/>
          <w:szCs w:val="28"/>
          <w:lang w:val="uk-UA"/>
        </w:rPr>
        <w:lastRenderedPageBreak/>
        <w:t>із захистом інтелектуальної власності, правилами безпеки чи законними інтересами.</w:t>
      </w:r>
    </w:p>
    <w:p w:rsidR="009D7FFC" w:rsidRDefault="009D7FFC" w:rsidP="008B7F2E">
      <w:pPr>
        <w:widowControl w:val="0"/>
        <w:autoSpaceDE w:val="0"/>
        <w:autoSpaceDN w:val="0"/>
        <w:spacing w:after="0" w:line="240" w:lineRule="auto"/>
        <w:ind w:right="32" w:firstLine="567"/>
        <w:jc w:val="both"/>
        <w:outlineLvl w:val="0"/>
        <w:rPr>
          <w:rFonts w:ascii="Times New Roman" w:eastAsia="Times New Roman" w:hAnsi="Times New Roman" w:cs="Times New Roman"/>
          <w:b/>
          <w:bCs/>
          <w:sz w:val="28"/>
          <w:szCs w:val="28"/>
          <w:lang w:val="uk-UA"/>
        </w:rPr>
      </w:pPr>
    </w:p>
    <w:p w:rsidR="008B7F2E" w:rsidRPr="008B7F2E" w:rsidRDefault="008B7F2E" w:rsidP="008B7F2E">
      <w:pPr>
        <w:widowControl w:val="0"/>
        <w:autoSpaceDE w:val="0"/>
        <w:autoSpaceDN w:val="0"/>
        <w:spacing w:after="0" w:line="240" w:lineRule="auto"/>
        <w:ind w:right="32" w:firstLine="567"/>
        <w:jc w:val="both"/>
        <w:outlineLvl w:val="0"/>
        <w:rPr>
          <w:rFonts w:ascii="Times New Roman" w:eastAsia="Times New Roman" w:hAnsi="Times New Roman" w:cs="Times New Roman"/>
          <w:b/>
          <w:bCs/>
          <w:sz w:val="28"/>
          <w:szCs w:val="28"/>
          <w:lang w:val="uk-UA"/>
        </w:rPr>
      </w:pPr>
      <w:r w:rsidRPr="008B7F2E">
        <w:rPr>
          <w:rFonts w:ascii="Times New Roman" w:eastAsia="Times New Roman" w:hAnsi="Times New Roman" w:cs="Times New Roman"/>
          <w:b/>
          <w:bCs/>
          <w:sz w:val="28"/>
          <w:szCs w:val="28"/>
          <w:lang w:val="uk-UA"/>
        </w:rPr>
        <w:t>Відкрита наука</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i/>
          <w:sz w:val="28"/>
          <w:szCs w:val="28"/>
          <w:lang w:val="uk-UA"/>
        </w:rPr>
      </w:pPr>
      <w:r w:rsidRPr="008B7F2E">
        <w:rPr>
          <w:rFonts w:ascii="Times New Roman" w:eastAsia="Times New Roman" w:hAnsi="Times New Roman" w:cs="Times New Roman"/>
          <w:i/>
          <w:sz w:val="28"/>
          <w:szCs w:val="28"/>
          <w:u w:val="single"/>
          <w:lang w:val="uk-UA"/>
        </w:rPr>
        <w:t>Відкрита наука: відкритий доступ до наукових публікацій</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забезпечити відкритий доступ до рецензованих наукових публікацій, що стосуються їхніх результатів. Зокрема, вони повинні забезпечити, щоб:</w:t>
      </w:r>
    </w:p>
    <w:p w:rsidR="008B7F2E" w:rsidRPr="008B7F2E" w:rsidRDefault="008B7F2E" w:rsidP="008B7F2E">
      <w:pPr>
        <w:widowControl w:val="0"/>
        <w:numPr>
          <w:ilvl w:val="0"/>
          <w:numId w:val="2"/>
        </w:numPr>
        <w:tabs>
          <w:tab w:val="left" w:pos="830"/>
        </w:tabs>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щонайпізніше на момент публікації </w:t>
      </w:r>
      <w:proofErr w:type="spellStart"/>
      <w:r w:rsidRPr="008B7F2E">
        <w:rPr>
          <w:rFonts w:ascii="Times New Roman" w:eastAsia="Times New Roman" w:hAnsi="Times New Roman" w:cs="Times New Roman"/>
          <w:sz w:val="28"/>
          <w:szCs w:val="28"/>
          <w:lang w:val="uk-UA"/>
        </w:rPr>
        <w:t>машинозчитувана</w:t>
      </w:r>
      <w:proofErr w:type="spellEnd"/>
      <w:r w:rsidRPr="008B7F2E">
        <w:rPr>
          <w:rFonts w:ascii="Times New Roman" w:eastAsia="Times New Roman" w:hAnsi="Times New Roman" w:cs="Times New Roman"/>
          <w:sz w:val="28"/>
          <w:szCs w:val="28"/>
          <w:lang w:val="uk-UA"/>
        </w:rPr>
        <w:t xml:space="preserve"> електронна копія опублікованої версії або остаточного рецензованого рукопису, прийнятого до публікації, зберігається в надійному сховищі для наукових публікацій</w:t>
      </w:r>
    </w:p>
    <w:p w:rsidR="008B7F2E" w:rsidRPr="008B7F2E" w:rsidRDefault="008B7F2E" w:rsidP="008B7F2E">
      <w:pPr>
        <w:widowControl w:val="0"/>
        <w:numPr>
          <w:ilvl w:val="0"/>
          <w:numId w:val="2"/>
        </w:numPr>
        <w:tabs>
          <w:tab w:val="left" w:pos="830"/>
        </w:tabs>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надається негайний відкритий доступ до депонованої публікації через репозиторій відповідно до останньої доступної версії міжнародної публічної ліцензії </w:t>
      </w:r>
      <w:proofErr w:type="spellStart"/>
      <w:r w:rsidRPr="008B7F2E">
        <w:rPr>
          <w:rFonts w:ascii="Times New Roman" w:eastAsia="Times New Roman" w:hAnsi="Times New Roman" w:cs="Times New Roman"/>
          <w:sz w:val="28"/>
          <w:szCs w:val="28"/>
          <w:lang w:val="uk-UA"/>
        </w:rPr>
        <w:t>Creative</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Commons</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Attribution</w:t>
      </w:r>
      <w:proofErr w:type="spellEnd"/>
      <w:r w:rsidRPr="008B7F2E">
        <w:rPr>
          <w:rFonts w:ascii="Times New Roman" w:eastAsia="Times New Roman" w:hAnsi="Times New Roman" w:cs="Times New Roman"/>
          <w:sz w:val="28"/>
          <w:szCs w:val="28"/>
          <w:lang w:val="uk-UA"/>
        </w:rPr>
        <w:t xml:space="preserve"> (CC BY) або ліцензії з еквівалентними правами; для монографій та інших довгих текстових форматів ліцензія може виключати комерційне використання та похідні роботи (наприклад, CC BY-NC, CC BY-ND) і</w:t>
      </w:r>
    </w:p>
    <w:p w:rsidR="008B7F2E" w:rsidRPr="008B7F2E" w:rsidRDefault="008B7F2E" w:rsidP="008B7F2E">
      <w:pPr>
        <w:widowControl w:val="0"/>
        <w:numPr>
          <w:ilvl w:val="0"/>
          <w:numId w:val="2"/>
        </w:numPr>
        <w:tabs>
          <w:tab w:val="left" w:pos="830"/>
        </w:tabs>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через репозиторій надається інформація про будь-які результати дослідження або будь-які інші інструменти та інструменти, необхідні для підтвердження висновків наукової публікації.</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(або автори) повинні зберігати достатні права інтелектуальної власності для дотримання вимог відкритого доступу.</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Метадані депонованих публікацій мають бути відкриті за </w:t>
      </w:r>
      <w:proofErr w:type="spellStart"/>
      <w:r w:rsidRPr="008B7F2E">
        <w:rPr>
          <w:rFonts w:ascii="Times New Roman" w:eastAsia="Times New Roman" w:hAnsi="Times New Roman" w:cs="Times New Roman"/>
          <w:sz w:val="28"/>
          <w:szCs w:val="28"/>
          <w:lang w:val="uk-UA"/>
        </w:rPr>
        <w:t>Creative</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Common</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Public</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Domain</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Dedication</w:t>
      </w:r>
      <w:proofErr w:type="spellEnd"/>
      <w:r w:rsidRPr="008B7F2E">
        <w:rPr>
          <w:rFonts w:ascii="Times New Roman" w:eastAsia="Times New Roman" w:hAnsi="Times New Roman" w:cs="Times New Roman"/>
          <w:sz w:val="28"/>
          <w:szCs w:val="28"/>
          <w:lang w:val="uk-UA"/>
        </w:rPr>
        <w:t xml:space="preserve"> (CC 0) або еквівалентом, відповідно до принципів FAIR (зокрема, за допомогою машини) і надавати інформацію принаймні про таке: публікація (автор(и), назва, дата видання, місце видання); Фінансування </w:t>
      </w:r>
      <w:proofErr w:type="spellStart"/>
      <w:r w:rsidRPr="008B7F2E">
        <w:rPr>
          <w:rFonts w:ascii="Times New Roman" w:eastAsia="Times New Roman" w:hAnsi="Times New Roman" w:cs="Times New Roman"/>
          <w:sz w:val="28"/>
          <w:szCs w:val="28"/>
          <w:lang w:val="uk-UA"/>
        </w:rPr>
        <w:t>Horizon</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Europe</w:t>
      </w:r>
      <w:proofErr w:type="spellEnd"/>
      <w:r w:rsidRPr="008B7F2E">
        <w:rPr>
          <w:rFonts w:ascii="Times New Roman" w:eastAsia="Times New Roman" w:hAnsi="Times New Roman" w:cs="Times New Roman"/>
          <w:sz w:val="28"/>
          <w:szCs w:val="28"/>
          <w:lang w:val="uk-UA"/>
        </w:rPr>
        <w:t xml:space="preserve"> або Євратом; назва проекту гранту, абревіатура та номер; умови ліцензування; постійні ідентифікатори для публікації, авторів, залучених до дії та, якщо можливо, для їхніх організацій та гранту. У відповідних випадках метадані повинні містити постійні ідентифікатори будь-яких результатів дослідження або будь-які інші інструменти та інструменти, необхідні для підтвердження висновків публікації.</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Відшкодуванню підлягають лише збори за публікації в місцях повного відкритого доступу для рецензованих наукових публікацій.</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i/>
          <w:sz w:val="28"/>
          <w:szCs w:val="28"/>
          <w:lang w:val="uk-UA"/>
        </w:rPr>
      </w:pPr>
      <w:r w:rsidRPr="008B7F2E">
        <w:rPr>
          <w:rFonts w:ascii="Times New Roman" w:eastAsia="Times New Roman" w:hAnsi="Times New Roman" w:cs="Times New Roman"/>
          <w:i/>
          <w:sz w:val="28"/>
          <w:szCs w:val="28"/>
          <w:u w:val="single"/>
          <w:lang w:val="uk-UA"/>
        </w:rPr>
        <w:t>Відкрита наука: управління даними досліджень</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керувати цифровими дослідницькими даними, створеними в рамках дії («дані»)</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відповідально, відповідно до принципів FAIR і вживаючи всіх наступних дій:</w:t>
      </w:r>
    </w:p>
    <w:p w:rsidR="008B7F2E" w:rsidRPr="008B7F2E" w:rsidRDefault="008B7F2E" w:rsidP="008B7F2E">
      <w:pPr>
        <w:widowControl w:val="0"/>
        <w:numPr>
          <w:ilvl w:val="0"/>
          <w:numId w:val="2"/>
        </w:numPr>
        <w:tabs>
          <w:tab w:val="left" w:pos="825"/>
        </w:tabs>
        <w:autoSpaceDE w:val="0"/>
        <w:autoSpaceDN w:val="0"/>
        <w:spacing w:after="0" w:line="240" w:lineRule="auto"/>
        <w:ind w:left="824" w:right="32"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створити план управління даними («DMP») (і регулярно його оновлювати)</w:t>
      </w:r>
    </w:p>
    <w:p w:rsidR="008B7F2E" w:rsidRPr="008B7F2E" w:rsidRDefault="008B7F2E" w:rsidP="008B7F2E">
      <w:pPr>
        <w:widowControl w:val="0"/>
        <w:numPr>
          <w:ilvl w:val="0"/>
          <w:numId w:val="2"/>
        </w:numPr>
        <w:tabs>
          <w:tab w:val="left" w:pos="825"/>
        </w:tabs>
        <w:autoSpaceDE w:val="0"/>
        <w:autoSpaceDN w:val="0"/>
        <w:spacing w:after="0" w:line="240" w:lineRule="auto"/>
        <w:ind w:left="824" w:right="335"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якнайшвидше та в терміни, зазначені в DMP, помістити </w:t>
      </w:r>
      <w:r w:rsidRPr="008B7F2E">
        <w:rPr>
          <w:rFonts w:ascii="Times New Roman" w:eastAsia="Times New Roman" w:hAnsi="Times New Roman" w:cs="Times New Roman"/>
          <w:sz w:val="28"/>
          <w:szCs w:val="28"/>
          <w:lang w:val="uk-UA"/>
        </w:rPr>
        <w:lastRenderedPageBreak/>
        <w:t>дані в надійне сховище; якщо це вимагається умовами виклику, це сховище має бути об’єднане в EOSC відповідно до вимог EOSC</w:t>
      </w:r>
    </w:p>
    <w:p w:rsidR="008B7F2E" w:rsidRPr="008B7F2E" w:rsidRDefault="008B7F2E" w:rsidP="009D7FFC">
      <w:pPr>
        <w:spacing w:after="0" w:line="240" w:lineRule="auto"/>
        <w:ind w:firstLine="567"/>
        <w:jc w:val="both"/>
        <w:rPr>
          <w:rFonts w:ascii="Times New Roman" w:eastAsia="Times New Roman" w:hAnsi="Times New Roman" w:cs="Times New Roman"/>
          <w:sz w:val="28"/>
          <w:szCs w:val="28"/>
          <w:lang w:val="uk-UA"/>
        </w:rPr>
        <w:sectPr w:rsidR="008B7F2E" w:rsidRPr="008B7F2E">
          <w:pgSz w:w="11910" w:h="16840"/>
          <w:pgMar w:top="1180" w:right="1080" w:bottom="1640" w:left="1300" w:header="840" w:footer="1447" w:gutter="0"/>
          <w:cols w:space="720"/>
        </w:sectPr>
      </w:pPr>
      <w:r w:rsidRPr="008B7F2E">
        <w:rPr>
          <w:rFonts w:ascii="Times New Roman" w:eastAsia="Times New Roman" w:hAnsi="Times New Roman" w:cs="Times New Roman"/>
          <w:sz w:val="28"/>
          <w:szCs w:val="28"/>
          <w:lang w:val="uk-UA"/>
        </w:rPr>
        <w:t xml:space="preserve">якнайшвидше та в терміни, встановлені в DMP, забезпечте відкритий доступ — через репозиторій — до депонованих даних згідно з останньою доступною версією міжнародної публічної ліцензії </w:t>
      </w:r>
      <w:proofErr w:type="spellStart"/>
      <w:r w:rsidRPr="008B7F2E">
        <w:rPr>
          <w:rFonts w:ascii="Times New Roman" w:eastAsia="Times New Roman" w:hAnsi="Times New Roman" w:cs="Times New Roman"/>
          <w:sz w:val="28"/>
          <w:szCs w:val="28"/>
          <w:lang w:val="uk-UA"/>
        </w:rPr>
        <w:t>Creative</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Commons</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Attribution</w:t>
      </w:r>
      <w:proofErr w:type="spellEnd"/>
      <w:r w:rsidRPr="008B7F2E">
        <w:rPr>
          <w:rFonts w:ascii="Times New Roman" w:eastAsia="Times New Roman" w:hAnsi="Times New Roman" w:cs="Times New Roman"/>
          <w:sz w:val="28"/>
          <w:szCs w:val="28"/>
          <w:lang w:val="uk-UA"/>
        </w:rPr>
        <w:t xml:space="preserve"> (CC BY) або </w:t>
      </w:r>
      <w:proofErr w:type="spellStart"/>
      <w:r w:rsidRPr="008B7F2E">
        <w:rPr>
          <w:rFonts w:ascii="Times New Roman" w:eastAsia="Times New Roman" w:hAnsi="Times New Roman" w:cs="Times New Roman"/>
          <w:sz w:val="28"/>
          <w:szCs w:val="28"/>
          <w:lang w:val="uk-UA"/>
        </w:rPr>
        <w:t>Creative</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Commons</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Public</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Domain</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Dedication</w:t>
      </w:r>
      <w:proofErr w:type="spellEnd"/>
      <w:r w:rsidRPr="008B7F2E">
        <w:rPr>
          <w:rFonts w:ascii="Times New Roman" w:eastAsia="Times New Roman" w:hAnsi="Times New Roman" w:cs="Times New Roman"/>
          <w:sz w:val="28"/>
          <w:szCs w:val="28"/>
          <w:lang w:val="uk-UA"/>
        </w:rPr>
        <w:t>. (CC 0) або ліцензії з еквівалентними правами, дотримуючись пр</w:t>
      </w:r>
      <w:bookmarkStart w:id="0" w:name="_GoBack"/>
      <w:bookmarkEnd w:id="0"/>
      <w:r w:rsidRPr="008B7F2E">
        <w:rPr>
          <w:rFonts w:ascii="Times New Roman" w:eastAsia="Times New Roman" w:hAnsi="Times New Roman" w:cs="Times New Roman"/>
          <w:sz w:val="28"/>
          <w:szCs w:val="28"/>
          <w:lang w:val="uk-UA"/>
        </w:rPr>
        <w:t>инципу «наскільки відкрито, наскільки це необхідно», якщо надання відкритого доступу не призведе, зокрема:</w:t>
      </w:r>
    </w:p>
    <w:p w:rsidR="008B7F2E" w:rsidRPr="008B7F2E" w:rsidRDefault="008B7F2E" w:rsidP="008B7F2E">
      <w:pPr>
        <w:widowControl w:val="0"/>
        <w:numPr>
          <w:ilvl w:val="1"/>
          <w:numId w:val="2"/>
        </w:numPr>
        <w:tabs>
          <w:tab w:val="left" w:pos="1418"/>
          <w:tab w:val="left" w:pos="2103"/>
          <w:tab w:val="left" w:pos="2983"/>
          <w:tab w:val="left" w:pos="3477"/>
          <w:tab w:val="left" w:pos="4931"/>
          <w:tab w:val="left" w:pos="6091"/>
          <w:tab w:val="left" w:pos="7154"/>
          <w:tab w:val="left" w:pos="8262"/>
        </w:tabs>
        <w:autoSpaceDE w:val="0"/>
        <w:autoSpaceDN w:val="0"/>
        <w:spacing w:after="0" w:line="240" w:lineRule="auto"/>
        <w:ind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lastRenderedPageBreak/>
        <w:t>бути</w:t>
      </w:r>
      <w:r w:rsidRPr="008B7F2E">
        <w:rPr>
          <w:rFonts w:ascii="Times New Roman" w:eastAsia="Times New Roman" w:hAnsi="Times New Roman" w:cs="Times New Roman"/>
          <w:sz w:val="28"/>
          <w:szCs w:val="28"/>
          <w:lang w:val="uk-UA"/>
        </w:rPr>
        <w:tab/>
        <w:t xml:space="preserve">проти легітимних інтересів </w:t>
      </w:r>
      <w:proofErr w:type="spellStart"/>
      <w:r w:rsidRPr="008B7F2E">
        <w:rPr>
          <w:rFonts w:ascii="Times New Roman" w:eastAsia="Times New Roman" w:hAnsi="Times New Roman" w:cs="Times New Roman"/>
          <w:sz w:val="28"/>
          <w:szCs w:val="28"/>
          <w:lang w:val="uk-UA"/>
        </w:rPr>
        <w:t>бенефіціара</w:t>
      </w:r>
      <w:proofErr w:type="spellEnd"/>
      <w:r w:rsidRPr="008B7F2E">
        <w:rPr>
          <w:rFonts w:ascii="Times New Roman" w:eastAsia="Times New Roman" w:hAnsi="Times New Roman" w:cs="Times New Roman"/>
          <w:sz w:val="28"/>
          <w:szCs w:val="28"/>
          <w:lang w:val="uk-UA"/>
        </w:rPr>
        <w:t>,</w:t>
      </w:r>
      <w:r w:rsidRPr="008B7F2E">
        <w:rPr>
          <w:rFonts w:ascii="Times New Roman" w:eastAsia="Times New Roman" w:hAnsi="Times New Roman" w:cs="Times New Roman"/>
          <w:sz w:val="28"/>
          <w:szCs w:val="28"/>
          <w:lang w:val="uk-UA"/>
        </w:rPr>
        <w:tab/>
        <w:t>в тому числі</w:t>
      </w:r>
      <w:r w:rsidRPr="008B7F2E">
        <w:rPr>
          <w:rFonts w:ascii="Times New Roman" w:eastAsia="Times New Roman" w:hAnsi="Times New Roman" w:cs="Times New Roman"/>
          <w:sz w:val="28"/>
          <w:szCs w:val="28"/>
          <w:lang w:val="uk-UA"/>
        </w:rPr>
        <w:tab/>
        <w:t>щодо</w:t>
      </w:r>
    </w:p>
    <w:p w:rsidR="008B7F2E" w:rsidRPr="008B7F2E" w:rsidRDefault="008B7F2E" w:rsidP="008B7F2E">
      <w:pPr>
        <w:widowControl w:val="0"/>
        <w:tabs>
          <w:tab w:val="left" w:pos="1418"/>
        </w:tabs>
        <w:autoSpaceDE w:val="0"/>
        <w:autoSpaceDN w:val="0"/>
        <w:spacing w:after="0" w:line="240" w:lineRule="auto"/>
        <w:ind w:firstLine="567"/>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комерційної експлуатації, або</w:t>
      </w:r>
    </w:p>
    <w:p w:rsidR="008B7F2E" w:rsidRPr="008B7F2E" w:rsidRDefault="008B7F2E" w:rsidP="008B7F2E">
      <w:pPr>
        <w:widowControl w:val="0"/>
        <w:numPr>
          <w:ilvl w:val="1"/>
          <w:numId w:val="2"/>
        </w:numPr>
        <w:tabs>
          <w:tab w:val="left" w:pos="1418"/>
        </w:tabs>
        <w:autoSpaceDE w:val="0"/>
        <w:autoSpaceDN w:val="0"/>
        <w:spacing w:after="0" w:line="240" w:lineRule="auto"/>
        <w:ind w:right="336"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суперечити будь-яким іншим обмеженням, зокрема конкурентним інтересам ЄС або зобов’язанням </w:t>
      </w:r>
      <w:proofErr w:type="spellStart"/>
      <w:r w:rsidRPr="008B7F2E">
        <w:rPr>
          <w:rFonts w:ascii="Times New Roman" w:eastAsia="Times New Roman" w:hAnsi="Times New Roman" w:cs="Times New Roman"/>
          <w:sz w:val="28"/>
          <w:szCs w:val="28"/>
          <w:lang w:val="uk-UA"/>
        </w:rPr>
        <w:t>бенефіціара</w:t>
      </w:r>
      <w:proofErr w:type="spellEnd"/>
      <w:r w:rsidRPr="008B7F2E">
        <w:rPr>
          <w:rFonts w:ascii="Times New Roman" w:eastAsia="Times New Roman" w:hAnsi="Times New Roman" w:cs="Times New Roman"/>
          <w:sz w:val="28"/>
          <w:szCs w:val="28"/>
          <w:lang w:val="uk-UA"/>
        </w:rPr>
        <w:t xml:space="preserve"> за цією Угодою; якщо відкритий доступ не надається (до деяких або до всіх даних), це має бути обґрунтовано в DMP</w:t>
      </w:r>
    </w:p>
    <w:p w:rsidR="008B7F2E" w:rsidRPr="008B7F2E" w:rsidRDefault="008B7F2E" w:rsidP="008B7F2E">
      <w:pPr>
        <w:widowControl w:val="0"/>
        <w:numPr>
          <w:ilvl w:val="0"/>
          <w:numId w:val="2"/>
        </w:numPr>
        <w:tabs>
          <w:tab w:val="left" w:pos="825"/>
          <w:tab w:val="left" w:pos="1418"/>
        </w:tabs>
        <w:autoSpaceDE w:val="0"/>
        <w:autoSpaceDN w:val="0"/>
        <w:spacing w:after="0" w:line="240" w:lineRule="auto"/>
        <w:ind w:left="824"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надавати через репозиторій інформацію про будь-які результати досліджень або будь-які інші інструменти та інструменти, необхідні для повторного використання або перевірки даних.</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Метадані депонованих даних мають бути відкритими згідно з </w:t>
      </w:r>
      <w:proofErr w:type="spellStart"/>
      <w:r w:rsidRPr="008B7F2E">
        <w:rPr>
          <w:rFonts w:ascii="Times New Roman" w:eastAsia="Times New Roman" w:hAnsi="Times New Roman" w:cs="Times New Roman"/>
          <w:sz w:val="28"/>
          <w:szCs w:val="28"/>
          <w:lang w:val="uk-UA"/>
        </w:rPr>
        <w:t>Creative</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Common</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Public</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Domain</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Dedication</w:t>
      </w:r>
      <w:proofErr w:type="spellEnd"/>
      <w:r w:rsidRPr="008B7F2E">
        <w:rPr>
          <w:rFonts w:ascii="Times New Roman" w:eastAsia="Times New Roman" w:hAnsi="Times New Roman" w:cs="Times New Roman"/>
          <w:sz w:val="28"/>
          <w:szCs w:val="28"/>
          <w:lang w:val="uk-UA"/>
        </w:rPr>
        <w:t xml:space="preserve"> (CC 0) або еквівалентом (якщо захищено законні інтереси чи обмеження), відповідно до принципів FAIR (зокрема, з використанням машин) і надавати інформацію щонайменше про наступне: набори даних (опис, дата депонування, автор(и), місце проведення та ембарго); Фінансування </w:t>
      </w:r>
      <w:proofErr w:type="spellStart"/>
      <w:r w:rsidRPr="008B7F2E">
        <w:rPr>
          <w:rFonts w:ascii="Times New Roman" w:eastAsia="Times New Roman" w:hAnsi="Times New Roman" w:cs="Times New Roman"/>
          <w:sz w:val="28"/>
          <w:szCs w:val="28"/>
          <w:lang w:val="uk-UA"/>
        </w:rPr>
        <w:t>Horizon</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Europe</w:t>
      </w:r>
      <w:proofErr w:type="spellEnd"/>
      <w:r w:rsidRPr="008B7F2E">
        <w:rPr>
          <w:rFonts w:ascii="Times New Roman" w:eastAsia="Times New Roman" w:hAnsi="Times New Roman" w:cs="Times New Roman"/>
          <w:sz w:val="28"/>
          <w:szCs w:val="28"/>
          <w:lang w:val="uk-UA"/>
        </w:rPr>
        <w:t xml:space="preserve"> або Євратом; назва проекту гранту, абревіатура та номер; умови ліцензування; постійні ідентифікатори для набору даних, авторів, залучених до дії, і, якщо можливо, для їхніх організацій і гранту. У відповідних випадках метадані повинні включати постійні ідентифікатори для пов’язаних публікацій та інших результатів досліджень.</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i/>
          <w:sz w:val="28"/>
          <w:szCs w:val="28"/>
          <w:lang w:val="uk-UA"/>
        </w:rPr>
      </w:pPr>
      <w:r w:rsidRPr="008B7F2E">
        <w:rPr>
          <w:rFonts w:ascii="Times New Roman" w:eastAsia="Times New Roman" w:hAnsi="Times New Roman" w:cs="Times New Roman"/>
          <w:i/>
          <w:sz w:val="28"/>
          <w:szCs w:val="28"/>
          <w:u w:val="single"/>
          <w:lang w:val="uk-UA"/>
        </w:rPr>
        <w:t xml:space="preserve">Відкрита практика: </w:t>
      </w:r>
      <w:proofErr w:type="spellStart"/>
      <w:r w:rsidRPr="008B7F2E">
        <w:rPr>
          <w:rFonts w:ascii="Times New Roman" w:eastAsia="Times New Roman" w:hAnsi="Times New Roman" w:cs="Times New Roman"/>
          <w:i/>
          <w:sz w:val="28"/>
          <w:szCs w:val="28"/>
          <w:u w:val="single"/>
          <w:lang w:val="uk-UA"/>
        </w:rPr>
        <w:t>доп.практ</w:t>
      </w:r>
      <w:proofErr w:type="spellEnd"/>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Якщо умови конкурсу накладають додаткові зобов’язання щодо відкритих наукових практик, </w:t>
      </w: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також повинні їх дотримуватися.</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Якщо умови конкурсу накладають додаткові зобов’язання щодо перевірки наукових публікацій, </w:t>
      </w: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надати (цифровий або фізичний) доступ до даних або інших результатів, необхідних для перевірки висновків наукових публікацій, у тій мірі, в якій захищені їхні законні інтереси чи обмеження. (і якщо вони вже не надали (відкритий) доступ під час публікації).</w:t>
      </w:r>
    </w:p>
    <w:p w:rsidR="008B7F2E" w:rsidRPr="008B7F2E" w:rsidRDefault="008B7F2E" w:rsidP="008B7F2E">
      <w:pPr>
        <w:widowControl w:val="0"/>
        <w:autoSpaceDE w:val="0"/>
        <w:autoSpaceDN w:val="0"/>
        <w:spacing w:after="0" w:line="240" w:lineRule="auto"/>
        <w:ind w:right="32"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Якщо умови конкурсу накладають додаткові зобов’язання щодо відкритої науки у разі надзвичайної ситуації, </w:t>
      </w: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(за запитом органу, що надає гранти) негайно депонувати будь-які результати досліджень у сховищі та надати відкритий доступ до них згідно з ліцензією CC BY, громадським надбанням. Відданість (CC 0) або еквівалент. Як виняток, якщо доступ буде суперечити законним інтересам </w:t>
      </w:r>
      <w:proofErr w:type="spellStart"/>
      <w:r w:rsidRPr="008B7F2E">
        <w:rPr>
          <w:rFonts w:ascii="Times New Roman" w:eastAsia="Times New Roman" w:hAnsi="Times New Roman" w:cs="Times New Roman"/>
          <w:sz w:val="28"/>
          <w:szCs w:val="28"/>
          <w:lang w:val="uk-UA"/>
        </w:rPr>
        <w:t>бенефіціарів</w:t>
      </w:r>
      <w:proofErr w:type="spellEnd"/>
      <w:r w:rsidRPr="008B7F2E">
        <w:rPr>
          <w:rFonts w:ascii="Times New Roman" w:eastAsia="Times New Roman" w:hAnsi="Times New Roman" w:cs="Times New Roman"/>
          <w:sz w:val="28"/>
          <w:szCs w:val="28"/>
          <w:lang w:val="uk-UA"/>
        </w:rPr>
        <w:t xml:space="preserve">, </w:t>
      </w: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надати невиключні ліцензії — на справедливих і розумних умовах — юридичним особам, яким потрібні результати дослідження для вирішення надзвичайної ситуації, і взяти на себе зобов’язання швидко та широко використовувати отримані продукти та послуги на справедливих і розумних умовах. Це положення застосовується протягом чотирьох років після завершення дії (див. Таблицю даних, пункт 1).</w:t>
      </w:r>
    </w:p>
    <w:p w:rsidR="008B7F2E" w:rsidRPr="008B7F2E" w:rsidRDefault="008B7F2E" w:rsidP="008B7F2E">
      <w:pPr>
        <w:widowControl w:val="0"/>
        <w:autoSpaceDE w:val="0"/>
        <w:autoSpaceDN w:val="0"/>
        <w:spacing w:after="0" w:line="240" w:lineRule="auto"/>
        <w:ind w:firstLine="567"/>
        <w:jc w:val="both"/>
        <w:outlineLvl w:val="0"/>
        <w:rPr>
          <w:rFonts w:ascii="Times New Roman" w:eastAsia="Times New Roman" w:hAnsi="Times New Roman" w:cs="Times New Roman"/>
          <w:b/>
          <w:bCs/>
          <w:sz w:val="28"/>
          <w:szCs w:val="28"/>
          <w:lang w:val="uk-UA"/>
        </w:rPr>
      </w:pPr>
      <w:r w:rsidRPr="008B7F2E">
        <w:rPr>
          <w:rFonts w:ascii="Times New Roman" w:eastAsia="Times New Roman" w:hAnsi="Times New Roman" w:cs="Times New Roman"/>
          <w:b/>
          <w:bCs/>
          <w:sz w:val="28"/>
          <w:szCs w:val="28"/>
          <w:lang w:val="uk-UA"/>
        </w:rPr>
        <w:t>План використання та розповсюдження результатів, включаючи комунікаційну діяльність</w:t>
      </w:r>
    </w:p>
    <w:p w:rsidR="008B7F2E" w:rsidRPr="008B7F2E" w:rsidRDefault="008B7F2E" w:rsidP="008B7F2E">
      <w:pPr>
        <w:widowControl w:val="0"/>
        <w:autoSpaceDE w:val="0"/>
        <w:autoSpaceDN w:val="0"/>
        <w:spacing w:after="0" w:line="240" w:lineRule="auto"/>
        <w:ind w:right="174" w:firstLine="567"/>
        <w:jc w:val="both"/>
        <w:rPr>
          <w:rFonts w:ascii="Times New Roman" w:eastAsia="Times New Roman" w:hAnsi="Times New Roman" w:cs="Times New Roman"/>
          <w:sz w:val="28"/>
          <w:szCs w:val="28"/>
          <w:lang w:val="uk-UA"/>
        </w:rPr>
      </w:pPr>
      <w:r w:rsidRPr="008B7F2E">
        <w:rPr>
          <w:rFonts w:ascii="Times New Roman" w:eastAsia="Times New Roman" w:hAnsi="Times New Roman" w:cs="Times New Roman"/>
          <w:sz w:val="28"/>
          <w:szCs w:val="28"/>
          <w:lang w:val="uk-UA"/>
        </w:rPr>
        <w:t xml:space="preserve">Якщо це не виключено умовами конкурсу, </w:t>
      </w:r>
      <w:proofErr w:type="spellStart"/>
      <w:r w:rsidRPr="008B7F2E">
        <w:rPr>
          <w:rFonts w:ascii="Times New Roman" w:eastAsia="Times New Roman" w:hAnsi="Times New Roman" w:cs="Times New Roman"/>
          <w:sz w:val="28"/>
          <w:szCs w:val="28"/>
          <w:lang w:val="uk-UA"/>
        </w:rPr>
        <w:t>бенефіціари</w:t>
      </w:r>
      <w:proofErr w:type="spellEnd"/>
      <w:r w:rsidRPr="008B7F2E">
        <w:rPr>
          <w:rFonts w:ascii="Times New Roman" w:eastAsia="Times New Roman" w:hAnsi="Times New Roman" w:cs="Times New Roman"/>
          <w:sz w:val="28"/>
          <w:szCs w:val="28"/>
          <w:lang w:val="uk-UA"/>
        </w:rPr>
        <w:t xml:space="preserve"> повинні надати та регулярно оновлювати план використання та розповсюдження </w:t>
      </w:r>
      <w:r w:rsidRPr="008B7F2E">
        <w:rPr>
          <w:rFonts w:ascii="Times New Roman" w:eastAsia="Times New Roman" w:hAnsi="Times New Roman" w:cs="Times New Roman"/>
          <w:sz w:val="28"/>
          <w:szCs w:val="28"/>
          <w:lang w:val="uk-UA"/>
        </w:rPr>
        <w:lastRenderedPageBreak/>
        <w:t>результатів, включаючи комунікаційну діяльність.</w:t>
      </w:r>
    </w:p>
    <w:p w:rsidR="008B7F2E" w:rsidRPr="008B7F2E" w:rsidRDefault="008B7F2E" w:rsidP="008B7F2E">
      <w:pPr>
        <w:widowControl w:val="0"/>
        <w:autoSpaceDE w:val="0"/>
        <w:autoSpaceDN w:val="0"/>
        <w:spacing w:after="0" w:line="240" w:lineRule="auto"/>
        <w:ind w:right="331" w:firstLine="567"/>
        <w:jc w:val="both"/>
        <w:rPr>
          <w:rFonts w:ascii="Times New Roman" w:eastAsia="Times New Roman" w:hAnsi="Times New Roman" w:cs="Times New Roman"/>
          <w:sz w:val="28"/>
          <w:szCs w:val="28"/>
          <w:lang w:val="uk-UA"/>
        </w:rPr>
      </w:pPr>
    </w:p>
    <w:p w:rsidR="004E7F09" w:rsidRPr="008B7F2E" w:rsidRDefault="004E7F09" w:rsidP="008B7F2E">
      <w:pPr>
        <w:ind w:firstLine="567"/>
        <w:rPr>
          <w:rFonts w:ascii="Times New Roman" w:hAnsi="Times New Roman" w:cs="Times New Roman"/>
          <w:sz w:val="28"/>
          <w:szCs w:val="28"/>
          <w:lang w:val="uk-UA"/>
        </w:rPr>
      </w:pPr>
    </w:p>
    <w:sectPr w:rsidR="004E7F09" w:rsidRPr="008B7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201C"/>
    <w:multiLevelType w:val="hybridMultilevel"/>
    <w:tmpl w:val="09AA0A32"/>
    <w:lvl w:ilvl="0" w:tplc="66ECFB94">
      <w:numFmt w:val="bullet"/>
      <w:lvlText w:val="-"/>
      <w:lvlJc w:val="left"/>
      <w:pPr>
        <w:ind w:left="829" w:hanging="356"/>
      </w:pPr>
      <w:rPr>
        <w:rFonts w:ascii="Times New Roman" w:eastAsia="Times New Roman" w:hAnsi="Times New Roman" w:cs="Times New Roman" w:hint="default"/>
        <w:w w:val="100"/>
        <w:sz w:val="24"/>
        <w:szCs w:val="24"/>
        <w:lang w:val="en-US" w:eastAsia="en-US" w:bidi="ar-SA"/>
      </w:rPr>
    </w:lvl>
    <w:lvl w:ilvl="1" w:tplc="07A0FCAA">
      <w:numFmt w:val="bullet"/>
      <w:lvlText w:val="-"/>
      <w:lvlJc w:val="left"/>
      <w:pPr>
        <w:ind w:left="1676" w:hanging="425"/>
      </w:pPr>
      <w:rPr>
        <w:rFonts w:ascii="Times New Roman" w:eastAsia="Times New Roman" w:hAnsi="Times New Roman" w:cs="Times New Roman" w:hint="default"/>
        <w:w w:val="100"/>
        <w:sz w:val="24"/>
        <w:szCs w:val="24"/>
        <w:lang w:val="en-US" w:eastAsia="en-US" w:bidi="ar-SA"/>
      </w:rPr>
    </w:lvl>
    <w:lvl w:ilvl="2" w:tplc="B9C0719A">
      <w:numFmt w:val="bullet"/>
      <w:lvlText w:val="-"/>
      <w:lvlJc w:val="left"/>
      <w:pPr>
        <w:ind w:left="1959" w:hanging="360"/>
      </w:pPr>
      <w:rPr>
        <w:rFonts w:ascii="Times New Roman" w:eastAsia="Times New Roman" w:hAnsi="Times New Roman" w:cs="Times New Roman" w:hint="default"/>
        <w:w w:val="100"/>
        <w:sz w:val="24"/>
        <w:szCs w:val="24"/>
        <w:lang w:val="en-US" w:eastAsia="en-US" w:bidi="ar-SA"/>
      </w:rPr>
    </w:lvl>
    <w:lvl w:ilvl="3" w:tplc="AAEA6366">
      <w:numFmt w:val="bullet"/>
      <w:lvlText w:val="•"/>
      <w:lvlJc w:val="left"/>
      <w:pPr>
        <w:ind w:left="1960" w:hanging="360"/>
      </w:pPr>
      <w:rPr>
        <w:lang w:val="en-US" w:eastAsia="en-US" w:bidi="ar-SA"/>
      </w:rPr>
    </w:lvl>
    <w:lvl w:ilvl="4" w:tplc="CE24E884">
      <w:numFmt w:val="bullet"/>
      <w:lvlText w:val="•"/>
      <w:lvlJc w:val="left"/>
      <w:pPr>
        <w:ind w:left="2100" w:hanging="360"/>
      </w:pPr>
      <w:rPr>
        <w:lang w:val="en-US" w:eastAsia="en-US" w:bidi="ar-SA"/>
      </w:rPr>
    </w:lvl>
    <w:lvl w:ilvl="5" w:tplc="C42C5DF0">
      <w:numFmt w:val="bullet"/>
      <w:lvlText w:val="•"/>
      <w:lvlJc w:val="left"/>
      <w:pPr>
        <w:ind w:left="3337" w:hanging="360"/>
      </w:pPr>
      <w:rPr>
        <w:lang w:val="en-US" w:eastAsia="en-US" w:bidi="ar-SA"/>
      </w:rPr>
    </w:lvl>
    <w:lvl w:ilvl="6" w:tplc="1742B5D6">
      <w:numFmt w:val="bullet"/>
      <w:lvlText w:val="•"/>
      <w:lvlJc w:val="left"/>
      <w:pPr>
        <w:ind w:left="4575" w:hanging="360"/>
      </w:pPr>
      <w:rPr>
        <w:lang w:val="en-US" w:eastAsia="en-US" w:bidi="ar-SA"/>
      </w:rPr>
    </w:lvl>
    <w:lvl w:ilvl="7" w:tplc="821C0A96">
      <w:numFmt w:val="bullet"/>
      <w:lvlText w:val="•"/>
      <w:lvlJc w:val="left"/>
      <w:pPr>
        <w:ind w:left="5813" w:hanging="360"/>
      </w:pPr>
      <w:rPr>
        <w:lang w:val="en-US" w:eastAsia="en-US" w:bidi="ar-SA"/>
      </w:rPr>
    </w:lvl>
    <w:lvl w:ilvl="8" w:tplc="65281BC6">
      <w:numFmt w:val="bullet"/>
      <w:lvlText w:val="•"/>
      <w:lvlJc w:val="left"/>
      <w:pPr>
        <w:ind w:left="7050" w:hanging="360"/>
      </w:pPr>
      <w:rPr>
        <w:lang w:val="en-US" w:eastAsia="en-US" w:bidi="ar-SA"/>
      </w:rPr>
    </w:lvl>
  </w:abstractNum>
  <w:abstractNum w:abstractNumId="1" w15:restartNumberingAfterBreak="0">
    <w:nsid w:val="0A405D81"/>
    <w:multiLevelType w:val="hybridMultilevel"/>
    <w:tmpl w:val="C3A89FF0"/>
    <w:lvl w:ilvl="0" w:tplc="333E2736">
      <w:numFmt w:val="bullet"/>
      <w:lvlText w:val="-"/>
      <w:lvlJc w:val="left"/>
      <w:pPr>
        <w:ind w:left="829" w:hanging="356"/>
      </w:pPr>
      <w:rPr>
        <w:rFonts w:ascii="Times New Roman" w:eastAsia="Times New Roman" w:hAnsi="Times New Roman" w:cs="Times New Roman" w:hint="default"/>
        <w:w w:val="100"/>
        <w:sz w:val="24"/>
        <w:szCs w:val="24"/>
        <w:lang w:val="en-US" w:eastAsia="en-US" w:bidi="ar-SA"/>
      </w:rPr>
    </w:lvl>
    <w:lvl w:ilvl="1" w:tplc="9EE07E70">
      <w:numFmt w:val="bullet"/>
      <w:lvlText w:val="-"/>
      <w:lvlJc w:val="left"/>
      <w:pPr>
        <w:ind w:left="1393" w:hanging="360"/>
      </w:pPr>
      <w:rPr>
        <w:rFonts w:ascii="Times New Roman" w:eastAsia="Times New Roman" w:hAnsi="Times New Roman" w:cs="Times New Roman" w:hint="default"/>
        <w:w w:val="100"/>
        <w:sz w:val="24"/>
        <w:szCs w:val="24"/>
        <w:lang w:val="en-US" w:eastAsia="en-US" w:bidi="ar-SA"/>
      </w:rPr>
    </w:lvl>
    <w:lvl w:ilvl="2" w:tplc="1D6E582A">
      <w:numFmt w:val="bullet"/>
      <w:lvlText w:val="•"/>
      <w:lvlJc w:val="left"/>
      <w:pPr>
        <w:ind w:left="1400" w:hanging="360"/>
      </w:pPr>
      <w:rPr>
        <w:lang w:val="en-US" w:eastAsia="en-US" w:bidi="ar-SA"/>
      </w:rPr>
    </w:lvl>
    <w:lvl w:ilvl="3" w:tplc="AE50BCB4">
      <w:numFmt w:val="bullet"/>
      <w:lvlText w:val="•"/>
      <w:lvlJc w:val="left"/>
      <w:pPr>
        <w:ind w:left="2415" w:hanging="360"/>
      </w:pPr>
      <w:rPr>
        <w:lang w:val="en-US" w:eastAsia="en-US" w:bidi="ar-SA"/>
      </w:rPr>
    </w:lvl>
    <w:lvl w:ilvl="4" w:tplc="F356DB00">
      <w:numFmt w:val="bullet"/>
      <w:lvlText w:val="•"/>
      <w:lvlJc w:val="left"/>
      <w:pPr>
        <w:ind w:left="3431" w:hanging="360"/>
      </w:pPr>
      <w:rPr>
        <w:lang w:val="en-US" w:eastAsia="en-US" w:bidi="ar-SA"/>
      </w:rPr>
    </w:lvl>
    <w:lvl w:ilvl="5" w:tplc="3524FFF2">
      <w:numFmt w:val="bullet"/>
      <w:lvlText w:val="•"/>
      <w:lvlJc w:val="left"/>
      <w:pPr>
        <w:ind w:left="4447" w:hanging="360"/>
      </w:pPr>
      <w:rPr>
        <w:lang w:val="en-US" w:eastAsia="en-US" w:bidi="ar-SA"/>
      </w:rPr>
    </w:lvl>
    <w:lvl w:ilvl="6" w:tplc="817C07C0">
      <w:numFmt w:val="bullet"/>
      <w:lvlText w:val="•"/>
      <w:lvlJc w:val="left"/>
      <w:pPr>
        <w:ind w:left="5463" w:hanging="360"/>
      </w:pPr>
      <w:rPr>
        <w:lang w:val="en-US" w:eastAsia="en-US" w:bidi="ar-SA"/>
      </w:rPr>
    </w:lvl>
    <w:lvl w:ilvl="7" w:tplc="9CF27B40">
      <w:numFmt w:val="bullet"/>
      <w:lvlText w:val="•"/>
      <w:lvlJc w:val="left"/>
      <w:pPr>
        <w:ind w:left="6479" w:hanging="360"/>
      </w:pPr>
      <w:rPr>
        <w:lang w:val="en-US" w:eastAsia="en-US" w:bidi="ar-SA"/>
      </w:rPr>
    </w:lvl>
    <w:lvl w:ilvl="8" w:tplc="D8D64038">
      <w:numFmt w:val="bullet"/>
      <w:lvlText w:val="•"/>
      <w:lvlJc w:val="left"/>
      <w:pPr>
        <w:ind w:left="7494" w:hanging="360"/>
      </w:pPr>
      <w:rPr>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E"/>
    <w:rsid w:val="004E7F09"/>
    <w:rsid w:val="006B6207"/>
    <w:rsid w:val="008B7F2E"/>
    <w:rsid w:val="009D7FFC"/>
  </w:rsids>
  <m:mathPr>
    <m:mathFont m:val="Cambria Math"/>
    <m:brkBin m:val="before"/>
    <m:brkBinSub m:val="--"/>
    <m:smallFrac m:val="0"/>
    <m:dispDef/>
    <m:lMargin m:val="0"/>
    <m:rMargin m:val="0"/>
    <m:defJc m:val="centerGroup"/>
    <m:wrapIndent m:val="1440"/>
    <m:intLim m:val="subSup"/>
    <m:naryLim m:val="undOvr"/>
  </m:mathPr>
  <w:themeFontLang w:val="ru-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02FE"/>
  <w15:chartTrackingRefBased/>
  <w15:docId w15:val="{E03E7F53-3CAE-48D2-9823-28A64E2D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U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F2E"/>
    <w:rPr>
      <w:rFonts w:eastAsiaTheme="minorHAnsi"/>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1867</Words>
  <Characters>10647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2024-10-04T05:54:00Z</dcterms:created>
  <dcterms:modified xsi:type="dcterms:W3CDTF">2024-10-04T07:55:00Z</dcterms:modified>
</cp:coreProperties>
</file>