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2978"/>
        <w:gridCol w:w="6911"/>
        <w:tblGridChange w:id="0">
          <w:tblGrid>
            <w:gridCol w:w="2978"/>
            <w:gridCol w:w="69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016510" cy="1026576"/>
                  <wp:effectExtent b="0" l="0" r="0" t="0"/>
                  <wp:docPr descr="E:\nubip_logo_new_poisk_18_2.png" id="5" name="image1.png"/>
                  <a:graphic>
                    <a:graphicData uri="http://schemas.openxmlformats.org/drawingml/2006/picture">
                      <pic:pic>
                        <pic:nvPicPr>
                          <pic:cNvPr descr="E:\nubip_logo_new_poisk_18_2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148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10" cy="1026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СИЛАБУС ДИСЦИПЛІНИ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«АКМЕОЛОГІЯ»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 – Доктор філософії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– 053 «Психологія»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 «Психологія»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Рік навчання 1, семестр 2,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навчання: денна, вечірня, заочна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 кредитів ЄКТС 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Мова викладання: українська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Лектор курсу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Теслюк Валентина Михайлівна, кандидат психол. наук, доцент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лектора (e-mail)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 психології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корпус. 1, к. 23, тел. 527-83-54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tesliuk46@gmail.com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курсу в eLearn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https://elearn.nubip.edu.ua/course/view.php?id=3959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 ДИСЦИПЛІНИ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навчальної дисципліни «Акмеологія» ‒ формування професійної компетенції, необхідної для здійснення дослідницької та практичної діяльності психолога. 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Завдання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дисципліни: сформувати уявлення про особливості вершини професійної роботи; розкрити сутність акмеології в контексті професійного та особистісного розвитку; сприяти формуванню необхідних професійних умінь у вирішенні практичних завдань із застосуванням акмеологіних знань.</w:t>
      </w:r>
    </w:p>
    <w:p w:rsidR="00000000" w:rsidDel="00000000" w:rsidP="00000000" w:rsidRDefault="00000000" w:rsidRPr="00000000" w14:paraId="0000002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Набуття компетентностей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інтегральна компетентність (ІК):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Здатність продукувати нові ідеї, розв’язувати комплексні проблеми у сфері психології (що передбачає глибоке переосмислення наявних та створення нових цілісних знань для теорії та практики), застосовувати сучасні методології наукової та науково-педагогічної діяльності, здійснювати власні наукові дослідження, результати яких мають наукову новизну, теоретичне та практичне значення.</w:t>
      </w:r>
    </w:p>
    <w:p w:rsidR="00000000" w:rsidDel="00000000" w:rsidP="00000000" w:rsidRDefault="00000000" w:rsidRPr="00000000" w14:paraId="0000002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загальні компетентності (ЗК): </w:t>
      </w:r>
    </w:p>
    <w:p w:rsidR="00000000" w:rsidDel="00000000" w:rsidP="00000000" w:rsidRDefault="00000000" w:rsidRPr="00000000" w14:paraId="0000002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 01. Здатність до пошуку, оброблення та аналізу інформації з різних джерел.</w:t>
      </w:r>
    </w:p>
    <w:p w:rsidR="00000000" w:rsidDel="00000000" w:rsidP="00000000" w:rsidRDefault="00000000" w:rsidRPr="00000000" w14:paraId="0000002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ЗК 02. Здатність розв’язувати комплексні проблеми психології на підґрунті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</w:r>
    </w:p>
    <w:p w:rsidR="00000000" w:rsidDel="00000000" w:rsidP="00000000" w:rsidRDefault="00000000" w:rsidRPr="00000000" w14:paraId="0000002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фахові (спеціальні) компетентності (ФК): </w:t>
      </w:r>
    </w:p>
    <w:p w:rsidR="00000000" w:rsidDel="00000000" w:rsidP="00000000" w:rsidRDefault="00000000" w:rsidRPr="00000000" w14:paraId="0000002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ФК 02. Здатність до глибинного аналізу науково-практичних проблем у галузі психології. </w:t>
      </w:r>
    </w:p>
    <w:p w:rsidR="00000000" w:rsidDel="00000000" w:rsidP="00000000" w:rsidRDefault="00000000" w:rsidRPr="00000000" w14:paraId="0000002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Програмні результати навчання (ПРН):</w:t>
      </w:r>
    </w:p>
    <w:p w:rsidR="00000000" w:rsidDel="00000000" w:rsidP="00000000" w:rsidRDefault="00000000" w:rsidRPr="00000000" w14:paraId="0000002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 01. Вільно презентувати та обговорювати з фахівцями і нефахівцями результати досліджень, наукові та прикладні проблеми психології державною та іноземною мовами, кваліфіковано відображати результати досліджень у наукових публікаціях у провідних міжнародних виданнях. </w:t>
      </w:r>
    </w:p>
    <w:p w:rsidR="00000000" w:rsidDel="00000000" w:rsidP="00000000" w:rsidRDefault="00000000" w:rsidRPr="00000000" w14:paraId="0000002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 05.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</w:r>
    </w:p>
    <w:p w:rsidR="00000000" w:rsidDel="00000000" w:rsidP="00000000" w:rsidRDefault="00000000" w:rsidRPr="00000000" w14:paraId="0000002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ПРН 06. Розробляти та реалізовувати наукові та/або інноваційні проєкти, які дають можливість переосмислити наявне та створити нове цілісне знання та/або професійну практику і розв’язувати значущі наукові та практичні проблеми психології із дотриманням норм академічної етики і врахуванням етичних, соціальних, економічних та правових аспектів.</w:t>
      </w:r>
    </w:p>
    <w:p w:rsidR="00000000" w:rsidDel="00000000" w:rsidP="00000000" w:rsidRDefault="00000000" w:rsidRPr="00000000" w14:paraId="0000002C">
      <w:pPr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КУРСУ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591"/>
        <w:gridCol w:w="2850"/>
        <w:gridCol w:w="2030"/>
        <w:gridCol w:w="1029"/>
        <w:tblGridChange w:id="0">
          <w:tblGrid>
            <w:gridCol w:w="1845"/>
            <w:gridCol w:w="1591"/>
            <w:gridCol w:w="2850"/>
            <w:gridCol w:w="2030"/>
            <w:gridCol w:w="102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Години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(лекції/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лабораторні,)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Результати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Оціню-вання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Змістовий модуль 1. Акмеологія як наука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Предмет, завдання, основні етапи становлення акмеології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6/6/20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Знати: суть акмеології, підходи до визначення предмету акмеології, умови досягнення акме; основні етапи становлення акмеології.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Вміти визначити: основні завданням акмеології на сучасному етапі.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визначених темою питань або написання тез доповідей чи авторського есе з подальшою його презентацією.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Основні напрямки та принципи наукового дослідження в акмеології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6/6/25</w:t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Знати: загальнометодологічні принципи наукового дослідження в акмеології; показники психічного розвитку.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color w:val="646464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Вміти: виокремлювати основні напрямки сучасної акмеології; визначати акмеологічну позицію психолога в освіті.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визначених темою питань або написання тез доповідей чи авторського есе з подальшою його презентацією.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Зрілість та професійний розвиток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Зрілість соціально-психологічного розвитку людини в контексті акмеології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6/6/15</w:t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Знати: завдання акмеології в області зрілості людини, трактування поняття «зрілість» в різних науках; тлумачення поняття «соціальна зрілість»; акмеологічні характеристики соціально-психологічної зрілості.</w:t>
            </w:r>
          </w:p>
          <w:p w:rsidR="00000000" w:rsidDel="00000000" w:rsidP="00000000" w:rsidRDefault="00000000" w:rsidRPr="00000000" w14:paraId="00000050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Вміти:  співвідносити поняття «дорослість» і «зрілість»; виокремлювати показники зрілості психічного розвитку людини, причини і наслідки соціальної незрілості особистості.</w:t>
            </w:r>
          </w:p>
          <w:p w:rsidR="00000000" w:rsidDel="00000000" w:rsidP="00000000" w:rsidRDefault="00000000" w:rsidRPr="00000000" w14:paraId="0000005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визначених темою питань або написання тез доповідей чи авторського есе з подальшою його усною чи письмовою презентацією.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4. Вершини професійного розвитку особистості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6/6/15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Знати: визначення професіоналізації, структуру професіоналізму, співвідношення понять «соціалізація» та «професіоналізація».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Вміти: характеризувати поняття «професіоналізм»; вирізняти результативні і процесуальні показники ефективності професійної діяльності.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визначених темою питань або написання тез доповідей чи авторського есе з подальшою його презентацією.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5. Шляхи досягнення вершин професійного розвитку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6/6/15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Знати: основні вимоги до професійної освіти; рівні професіоналізації; основи ефективної самореалізації в професії.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Вміти: визначати акмеологічні показники професійної освіти; застосовувати надситуативний метод формування творчого професійного мислення.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Опрацювання визначених темою питань або написання тез доповідей чи авторського есе з подальшою його усною чи письмовою презентацією.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Виконати тест, пройти усну співбесіду за відкритими питаннями тесту.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 за 1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ПОЛІТИКА ОЦІНЮВАННЯ</w:t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6728"/>
        <w:tblGridChange w:id="0">
          <w:tblGrid>
            <w:gridCol w:w="2617"/>
            <w:gridCol w:w="6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дедлайнів та перескладання: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Відтермінування здачі завдань самостійної роботи, практичних занять у випадках хвороби чи якоїсь іншої вагомої для аспіранта причини може бути дозволене за умови надання необхідної документації.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Відтермінування здачі екзамену може бути дозволене за умови погодження з аспірантурою.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навчальних занять, терміни та умови виконання навчальних завдань можуть бути адаптовані до запитів аспірантів із документально підтвердженими особливими потребами. Відповідальністю аспіранта залишається вчасне надання таких документів.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академічної доброчесності: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Вступаючи на цей курс, аспіранти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https://nubip.edu.ua/node/12654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Політика щодо відвідування: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аспірантурою).</w:t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ШКАЛА ОЦІНЮВАННЯ </w:t>
      </w:r>
    </w:p>
    <w:tbl>
      <w:tblPr>
        <w:tblStyle w:val="Table4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0"/>
        <w:gridCol w:w="3901"/>
        <w:gridCol w:w="3114"/>
        <w:tblGridChange w:id="0">
          <w:tblGrid>
            <w:gridCol w:w="2330"/>
            <w:gridCol w:w="3901"/>
            <w:gridCol w:w="3114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Рейтинг здобувача вищої освіти, бали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Оцінка національна за результати складання екзаменів, заліків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Екзаменів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Заліків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Відмінно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74-89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60-73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Задовільно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0-59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незадовільно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зараховано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993"/>
        </w:tabs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Основні:</w:t>
      </w:r>
    </w:p>
    <w:p w:rsidR="00000000" w:rsidDel="00000000" w:rsidP="00000000" w:rsidRDefault="00000000" w:rsidRPr="00000000" w14:paraId="000000C6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Гладкова В.М., Пожарський С.Д. Основи акмеології : підручник. Львів : Новий Світ-2000, 2020. 320 с.</w:t>
      </w:r>
    </w:p>
    <w:p w:rsidR="00000000" w:rsidDel="00000000" w:rsidP="00000000" w:rsidRDefault="00000000" w:rsidRPr="00000000" w14:paraId="000000C7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Дзюба Т М. Психологія дорослості з основами геронтології : навч. посіб. /за ред. В. Ф. Моргуна. Київ: Слово, 2013. 264 с.</w:t>
      </w:r>
    </w:p>
    <w:p w:rsidR="00000000" w:rsidDel="00000000" w:rsidP="00000000" w:rsidRDefault="00000000" w:rsidRPr="00000000" w14:paraId="000000C8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Соціально-психологічні особливості дорослої людини: інформаційно-методичні матеріали для слухачів і викладачів системи післядипломної освіти / автори-укладачі: О. І. Бондарчук, Т. В. Ткач, Н. В. Гордієнко, С. В. Казакова, А. С. Москальова, О. О. Нежинська Н. І. Пінчук; Ун-т менеджменту освіти НАПН України. Київ, 2015. 48 с.</w:t>
      </w:r>
    </w:p>
    <w:p w:rsidR="00000000" w:rsidDel="00000000" w:rsidP="00000000" w:rsidRDefault="00000000" w:rsidRPr="00000000" w14:paraId="000000C9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Сучасні акмеологічні дослідження : теоретико-методологічні та прикладні аспекти : колективна монографія / редкол. : В.О.Огнев’юк, С.О. Сисоева. Київ : ун-т ім. Б.Гринченка.  2016.  912с.</w:t>
      </w:r>
    </w:p>
    <w:p w:rsidR="00000000" w:rsidDel="00000000" w:rsidP="00000000" w:rsidRDefault="00000000" w:rsidRPr="00000000" w14:paraId="000000CA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Щотка О. П. Вікова психологія дорослої людини : навч. вид. Ніжин : Ред.-видав. відділ НДПУ, 2001. 194 с.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B">
      <w:pPr>
        <w:widowControl w:val="0"/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Допоміжні</w:t>
      </w:r>
    </w:p>
    <w:p w:rsidR="00000000" w:rsidDel="00000000" w:rsidP="00000000" w:rsidRDefault="00000000" w:rsidRPr="00000000" w14:paraId="000000CC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Бондарчук О. І. Соціально-психологічні механізми особистісного розвитку дорослої людини.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Актуальні проблеми психології: зб. наук. праць Інституту психології ім. Г. С. Костюка НАПН України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/ [ред. кол. : С. Д. Максименко (гол. ред.) та ін.] ; Т. І ; за ред. С. Д. Максименка, Л. М. Карамушки, Вип. 38. К.-Алчевськ: ЛАДО, 2013. С. 347–351. С.10</w:t>
      </w:r>
    </w:p>
    <w:p w:rsidR="00000000" w:rsidDel="00000000" w:rsidP="00000000" w:rsidRDefault="00000000" w:rsidRPr="00000000" w14:paraId="000000CD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Варбан Є. Життєва криза : поняття, концепції та прояви.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Зб. наук. пр. Кам’янець-Подільського нац. ун-ту імені Івана Огієнка, Ін-ту психології імені Г. С. Костюка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 за ред. С. Д. Максименка, Л. А. Онуфрієвой. Вип. 10.  Кам-Подільський : Аксіома, 2010. С. 120–133.</w:t>
      </w:r>
    </w:p>
    <w:p w:rsidR="00000000" w:rsidDel="00000000" w:rsidP="00000000" w:rsidRDefault="00000000" w:rsidRPr="00000000" w14:paraId="000000CE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Максименко С. Д. Психологічні механізми зародження, становлення та здійснення особистості. Київ : Вид-во Європейського унту, 2010. 152 с.</w:t>
      </w:r>
    </w:p>
    <w:p w:rsidR="00000000" w:rsidDel="00000000" w:rsidP="00000000" w:rsidRDefault="00000000" w:rsidRPr="00000000" w14:paraId="000000CF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Олійник В. Українська модель функціонування і розвитку системи післядипломної педагогічної освіти. Післядипломна освіта в Україні. 2004. № 2. С. 5-12.</w:t>
      </w:r>
    </w:p>
    <w:p w:rsidR="00000000" w:rsidDel="00000000" w:rsidP="00000000" w:rsidRDefault="00000000" w:rsidRPr="00000000" w14:paraId="000000D0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Смульсон М. Л. Розвиток у старості : завдання, специфіка, ризики. Розуміння та інтерпретація життєвого досвіду як чинник розвитку особистості : монографія / за ред. Н. В. Чепелєвої. Кіровоград : Імекс-ЛТД, 2013. 276 с.</w:t>
      </w:r>
    </w:p>
    <w:p w:rsidR="00000000" w:rsidDel="00000000" w:rsidP="00000000" w:rsidRDefault="00000000" w:rsidRPr="00000000" w14:paraId="000000D1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Терлецька Л. Г. Психологія зрілості : практикум : навч. посіб. Київ : Главник, 2006. 144с.</w:t>
      </w:r>
    </w:p>
    <w:p w:rsidR="00000000" w:rsidDel="00000000" w:rsidP="00000000" w:rsidRDefault="00000000" w:rsidRPr="00000000" w14:paraId="000000D2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Черезова І. О. Психологія життєвих криз особистості : навч. посіб. для студ. вищ. навч. закл. Бердянськ, БДПУ, 2016. 193 с.</w:t>
      </w:r>
    </w:p>
    <w:p w:rsidR="00000000" w:rsidDel="00000000" w:rsidP="00000000" w:rsidRDefault="00000000" w:rsidRPr="00000000" w14:paraId="000000D3">
      <w:pPr>
        <w:widowControl w:val="0"/>
        <w:shd w:fill="ffffff" w:val="clear"/>
        <w:tabs>
          <w:tab w:val="left" w:leader="none" w:pos="365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Rogers A. Teaching Adults / A. Rogers. 3rd ed. Buckingham and Philadelphia: Open University Press, 1998, 2002.</w:t>
      </w:r>
    </w:p>
    <w:p w:rsidR="00000000" w:rsidDel="00000000" w:rsidP="00000000" w:rsidRDefault="00000000" w:rsidRPr="00000000" w14:paraId="000000D4">
      <w:pPr>
        <w:widowControl w:val="0"/>
        <w:shd w:fill="ffffff" w:val="clear"/>
        <w:tabs>
          <w:tab w:val="left" w:leader="none" w:pos="36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Інформаційні ресурси</w:t>
      </w:r>
    </w:p>
    <w:p w:rsidR="00000000" w:rsidDel="00000000" w:rsidP="00000000" w:rsidRDefault="00000000" w:rsidRPr="00000000" w14:paraId="000000D5">
      <w:pPr>
        <w:widowControl w:val="0"/>
        <w:shd w:fill="ffffff" w:val="clear"/>
        <w:tabs>
          <w:tab w:val="left" w:leader="none" w:pos="365"/>
        </w:tabs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1"/>
        </w:numPr>
        <w:tabs>
          <w:tab w:val="left" w:leader="none" w:pos="567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Коваленко-Кобилянська І. Г. Специфіка надання психологічної допомоги з урахуванням особливостей пізнього геронтогенезу.  Технології розвитку інтелекту. 2011. Т. 1. № 2. URL: www.psytir.org.ua/index.php./technology_intellect_ develop/ article/view/43. (дата звернення 07.06.2023).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1"/>
        </w:numPr>
        <w:shd w:fill="ffffff" w:val="clear"/>
        <w:tabs>
          <w:tab w:val="left" w:leader="none" w:pos="365"/>
          <w:tab w:val="left" w:leader="none" w:pos="567"/>
          <w:tab w:val="left" w:leader="none" w:pos="851"/>
        </w:tabs>
        <w:spacing w:after="0" w:line="276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Панченко С. М. Психологічні особливості дорослої людини як суб’єкта навчання.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Вісник Нац. акад. Держ. прикорд. служби України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2013. Вип. 3.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http://nbuv.gov.ua/j-pdf/Vnadps_2013_3_35.pdf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(дата звернення 07.06.2023).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1"/>
        </w:numPr>
        <w:tabs>
          <w:tab w:val="left" w:leader="none" w:pos="993"/>
        </w:tabs>
        <w:spacing w:after="0" w:line="276" w:lineRule="auto"/>
        <w:ind w:left="0"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Фундаментальна акмеологія – наука ХХІ століття : монографія/редкол. В.О. Огнев’юк, В.М. Гладкова, Я.С. Фруктова. Київ : Інтерсервіс, 2019. 206 с.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66cc"/>
            <w:sz w:val="24"/>
            <w:szCs w:val="24"/>
            <w:u w:val="single"/>
            <w:rtl w:val="0"/>
          </w:rPr>
          <w:t xml:space="preserve">https://elibrary.kubg.edu.ua/id/eprint/27937/1/v.hladkova_Fundamental%20acmeology.pdf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звернення 07.06.2023).</w:t>
      </w:r>
    </w:p>
    <w:p w:rsidR="00000000" w:rsidDel="00000000" w:rsidP="00000000" w:rsidRDefault="00000000" w:rsidRPr="00000000" w14:paraId="000000D9">
      <w:pPr>
        <w:tabs>
          <w:tab w:val="left" w:leader="none" w:pos="567"/>
          <w:tab w:val="left" w:leader="none" w:pos="851"/>
        </w:tabs>
        <w:spacing w:after="0" w:line="276" w:lineRule="auto"/>
        <w:ind w:left="9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340D3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 w:val="ru-RU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787F0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F36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ody Text Indent"/>
    <w:basedOn w:val="a"/>
    <w:link w:val="a5"/>
    <w:semiHidden w:val="1"/>
    <w:rsid w:val="008F3666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a5" w:customStyle="1">
    <w:name w:val="Основний текст з відступом Знак"/>
    <w:basedOn w:val="a0"/>
    <w:link w:val="a4"/>
    <w:semiHidden w:val="1"/>
    <w:rsid w:val="008F3666"/>
    <w:rPr>
      <w:rFonts w:ascii="Times New Roman" w:cs="Times New Roman" w:eastAsia="Times New Roman" w:hAnsi="Times New Roman"/>
      <w:sz w:val="28"/>
      <w:szCs w:val="20"/>
      <w:lang w:eastAsia="ru-RU" w:val="uk-UA"/>
    </w:rPr>
  </w:style>
  <w:style w:type="character" w:styleId="docdata" w:customStyle="1">
    <w:name w:val="docdata"/>
    <w:aliases w:val="docy,v5,3807,baiaagaaboqcaaad4auaaavzcwaaaaaaaaaaaaaaaaaaaaaaaaaaaaaaaaaaaaaaaaaaaaaaaaaaaaaaaaaaaaaaaaaaaaaaaaaaaaaaaaaaaaaaaaaaaaaaaaaaaaaaaaaaaaaaaaaaaaaaaaaaaaaaaaaaaaaaaaaaaaaaaaaaaaaaaaaaaaaaaaaaaaaaaaaaaaaaaaaaaaaaaaaaaaaaaaaaaaaaaaaaaaaa"/>
    <w:basedOn w:val="a0"/>
    <w:rsid w:val="008F3666"/>
  </w:style>
  <w:style w:type="character" w:styleId="a6">
    <w:name w:val="Hyperlink"/>
    <w:basedOn w:val="a0"/>
    <w:uiPriority w:val="99"/>
    <w:unhideWhenUsed w:val="1"/>
    <w:rsid w:val="00342F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 w:val="1"/>
    <w:rsid w:val="00342FDA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character" w:styleId="1920" w:customStyle="1">
    <w:name w:val="1920"/>
    <w:aliases w:val="baiaagaaboqcaaaduquaaaxhbqaaaaaaaaaaaaaaaaaaaaaaaaaaaaaaaaaaaaaaaaaaaaaaaaaaaaaaaaaaaaaaaaaaaaaaaaaaaaaaaaaaaaaaaaaaaaaaaaaaaaaaaaaaaaaaaaaaaaaaaaaaaaaaaaaaaaaaaaaaaaaaaaaaaaaaaaaaaaaaaaaaaaaaaaaaaaaaaaaaaaaaaaaaaaaaaaaaaaaaaaaaaaaa"/>
    <w:basedOn w:val="a0"/>
    <w:rsid w:val="008E291C"/>
  </w:style>
  <w:style w:type="paragraph" w:styleId="FR1" w:customStyle="1">
    <w:name w:val="FR1"/>
    <w:rsid w:val="00B2759A"/>
    <w:pPr>
      <w:widowControl w:val="0"/>
      <w:overflowPunct w:val="0"/>
      <w:autoSpaceDE w:val="0"/>
      <w:autoSpaceDN w:val="0"/>
      <w:adjustRightInd w:val="0"/>
      <w:spacing w:after="0" w:before="680" w:line="240" w:lineRule="auto"/>
      <w:ind w:left="2840"/>
      <w:textAlignment w:val="baseline"/>
    </w:pPr>
    <w:rPr>
      <w:rFonts w:ascii="Times New Roman" w:cs="Times New Roman" w:eastAsia="Times New Roman" w:hAnsi="Times New Roman"/>
      <w:b w:val="1"/>
      <w:sz w:val="32"/>
      <w:szCs w:val="20"/>
      <w:lang w:eastAsia="ru-RU"/>
    </w:rPr>
  </w:style>
  <w:style w:type="character" w:styleId="1664" w:customStyle="1">
    <w:name w:val="1664"/>
    <w:aliases w:val="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B2759A"/>
  </w:style>
  <w:style w:type="table" w:styleId="11" w:customStyle="1">
    <w:name w:val="Сітка таблиці1"/>
    <w:basedOn w:val="a1"/>
    <w:next w:val="a3"/>
    <w:uiPriority w:val="59"/>
    <w:rsid w:val="00E253D5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A340D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 w:val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787F0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8">
    <w:name w:val="Normal (Web)"/>
    <w:basedOn w:val="a"/>
    <w:uiPriority w:val="99"/>
    <w:semiHidden w:val="1"/>
    <w:unhideWhenUsed w:val="1"/>
    <w:rsid w:val="00AA40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library.kubg.edu.ua/id/eprint/27937/1/v.hladkova_Fundamental%20acmeology.pdf" TargetMode="External"/><Relationship Id="rId9" Type="http://schemas.openxmlformats.org/officeDocument/2006/relationships/hyperlink" Target="http://nbuv.gov.ua/j-pdf/Vnadps_2013_3_35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nubip.edu.ua/node/12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+um8ZCDGToMrWHPlPwYjolSTaQ==">CgMxLjAyCGguZ2pkZ3hzMgloLjMwajB6bGw4AHIhMW5LWlZOcnhZc3M0bk53U0JtNUlaZndKSFphQ1J2elYx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2021-06-11T09:02:00Z</dcterms:created>
  <dc:creator>Сторожук Олександр В'ячеславович</dc:creator>
</cp:coreProperties>
</file>