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F67" w:rsidRDefault="006C5F67">
      <w:pPr>
        <w:spacing w:after="0" w:line="240" w:lineRule="auto"/>
        <w:jc w:val="right"/>
        <w:rPr>
          <w:rFonts w:ascii="Times New Roman" w:hAnsi="Times New Roman" w:cs="Times New Roman"/>
          <w:b/>
          <w:sz w:val="28"/>
          <w:szCs w:val="28"/>
        </w:rPr>
      </w:pPr>
    </w:p>
    <w:p w:rsidR="006C5F67" w:rsidRDefault="00007A4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ҐРУНТОВІ РЕСУРСИ РОСЛИННИЦТВА ПРИРОДНО-КЛІМАТИЧНИХ ЗОН УКРАЇНИ</w:t>
      </w:r>
    </w:p>
    <w:p w:rsidR="006C5F67" w:rsidRDefault="006C5F67">
      <w:pPr>
        <w:spacing w:after="0" w:line="240" w:lineRule="auto"/>
        <w:rPr>
          <w:rFonts w:ascii="Times New Roman" w:hAnsi="Times New Roman" w:cs="Times New Roman"/>
          <w:b/>
          <w:sz w:val="28"/>
          <w:szCs w:val="28"/>
        </w:rPr>
      </w:pPr>
    </w:p>
    <w:p w:rsidR="006C5F67" w:rsidRDefault="007F0B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Кафедра ґрунтознавства та охорони ґрунтів </w:t>
      </w:r>
    </w:p>
    <w:p w:rsidR="006C5F67" w:rsidRDefault="006C5F67">
      <w:pPr>
        <w:spacing w:after="0" w:line="240" w:lineRule="auto"/>
        <w:jc w:val="center"/>
        <w:rPr>
          <w:rFonts w:ascii="Times New Roman" w:hAnsi="Times New Roman" w:cs="Times New Roman"/>
          <w:b/>
          <w:sz w:val="28"/>
          <w:szCs w:val="28"/>
        </w:rPr>
      </w:pPr>
    </w:p>
    <w:p w:rsidR="006C5F67" w:rsidRDefault="007F0B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Агробіологічний факультет</w:t>
      </w:r>
    </w:p>
    <w:p w:rsidR="006C5F67" w:rsidRDefault="006C5F67">
      <w:pPr>
        <w:spacing w:after="0" w:line="240" w:lineRule="auto"/>
        <w:jc w:val="center"/>
        <w:rPr>
          <w:rFonts w:ascii="Times New Roman" w:hAnsi="Times New Roman" w:cs="Times New Roman"/>
          <w:b/>
          <w:sz w:val="28"/>
          <w:szCs w:val="28"/>
        </w:rPr>
      </w:pPr>
    </w:p>
    <w:tbl>
      <w:tblPr>
        <w:tblStyle w:val="ab"/>
        <w:tblW w:w="9629" w:type="dxa"/>
        <w:tblLayout w:type="fixed"/>
        <w:tblLook w:val="04A0" w:firstRow="1" w:lastRow="0" w:firstColumn="1" w:lastColumn="0" w:noHBand="0" w:noVBand="1"/>
      </w:tblPr>
      <w:tblGrid>
        <w:gridCol w:w="3685"/>
        <w:gridCol w:w="5944"/>
      </w:tblGrid>
      <w:tr w:rsidR="006C5F67">
        <w:tc>
          <w:tcPr>
            <w:tcW w:w="3685"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i/>
                <w:sz w:val="28"/>
                <w:szCs w:val="28"/>
              </w:rPr>
            </w:pPr>
            <w:r>
              <w:rPr>
                <w:rFonts w:ascii="Times New Roman" w:eastAsia="Calibri" w:hAnsi="Times New Roman" w:cs="Times New Roman"/>
                <w:b/>
                <w:i/>
                <w:sz w:val="28"/>
                <w:szCs w:val="28"/>
              </w:rPr>
              <w:t>Лектор</w:t>
            </w:r>
          </w:p>
        </w:tc>
        <w:tc>
          <w:tcPr>
            <w:tcW w:w="5943" w:type="dxa"/>
            <w:tcBorders>
              <w:top w:val="nil"/>
              <w:left w:val="nil"/>
              <w:bottom w:val="nil"/>
              <w:right w:val="nil"/>
            </w:tcBorders>
            <w:vAlign w:val="center"/>
          </w:tcPr>
          <w:p w:rsidR="006C5F67" w:rsidRDefault="007F0BA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Носенко Валерій Григорович</w:t>
            </w:r>
          </w:p>
        </w:tc>
      </w:tr>
      <w:tr w:rsidR="006C5F67">
        <w:tc>
          <w:tcPr>
            <w:tcW w:w="3685"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i/>
                <w:sz w:val="28"/>
                <w:szCs w:val="28"/>
              </w:rPr>
            </w:pPr>
            <w:r>
              <w:rPr>
                <w:rFonts w:ascii="Times New Roman" w:eastAsia="Calibri" w:hAnsi="Times New Roman" w:cs="Times New Roman"/>
                <w:b/>
                <w:i/>
                <w:sz w:val="28"/>
                <w:szCs w:val="28"/>
              </w:rPr>
              <w:t>Семестр</w:t>
            </w:r>
          </w:p>
        </w:tc>
        <w:tc>
          <w:tcPr>
            <w:tcW w:w="5943"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6</w:t>
            </w:r>
          </w:p>
        </w:tc>
      </w:tr>
      <w:tr w:rsidR="006C5F67">
        <w:tc>
          <w:tcPr>
            <w:tcW w:w="3685"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i/>
                <w:sz w:val="28"/>
                <w:szCs w:val="28"/>
              </w:rPr>
            </w:pPr>
            <w:r>
              <w:rPr>
                <w:rFonts w:ascii="Times New Roman" w:eastAsia="Calibri" w:hAnsi="Times New Roman" w:cs="Times New Roman"/>
                <w:b/>
                <w:i/>
                <w:sz w:val="28"/>
                <w:szCs w:val="28"/>
              </w:rPr>
              <w:t>Освітній ступінь</w:t>
            </w:r>
          </w:p>
        </w:tc>
        <w:tc>
          <w:tcPr>
            <w:tcW w:w="5943"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Бакалавр</w:t>
            </w:r>
          </w:p>
        </w:tc>
      </w:tr>
      <w:tr w:rsidR="006C5F67">
        <w:tc>
          <w:tcPr>
            <w:tcW w:w="3685"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i/>
                <w:sz w:val="28"/>
                <w:szCs w:val="28"/>
              </w:rPr>
            </w:pPr>
            <w:r>
              <w:rPr>
                <w:rFonts w:ascii="Times New Roman" w:eastAsia="Calibri" w:hAnsi="Times New Roman" w:cs="Times New Roman"/>
                <w:b/>
                <w:i/>
                <w:sz w:val="28"/>
                <w:szCs w:val="28"/>
              </w:rPr>
              <w:t>Кількість кредитів ЄКТС</w:t>
            </w:r>
          </w:p>
        </w:tc>
        <w:tc>
          <w:tcPr>
            <w:tcW w:w="5943"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sz w:val="28"/>
                <w:szCs w:val="28"/>
                <w:lang w:val="en-US"/>
              </w:rPr>
            </w:pPr>
            <w:r>
              <w:rPr>
                <w:rFonts w:ascii="Times New Roman" w:eastAsia="Calibri" w:hAnsi="Times New Roman" w:cs="Times New Roman"/>
                <w:b/>
                <w:sz w:val="28"/>
                <w:szCs w:val="28"/>
                <w:lang w:val="en-US"/>
              </w:rPr>
              <w:t>4</w:t>
            </w:r>
          </w:p>
        </w:tc>
      </w:tr>
      <w:tr w:rsidR="006C5F67">
        <w:tc>
          <w:tcPr>
            <w:tcW w:w="3685"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i/>
                <w:sz w:val="28"/>
                <w:szCs w:val="28"/>
              </w:rPr>
            </w:pPr>
            <w:r>
              <w:rPr>
                <w:rFonts w:ascii="Times New Roman" w:eastAsia="Calibri" w:hAnsi="Times New Roman" w:cs="Times New Roman"/>
                <w:b/>
                <w:i/>
                <w:sz w:val="28"/>
                <w:szCs w:val="28"/>
              </w:rPr>
              <w:t>Форма контролю</w:t>
            </w:r>
          </w:p>
        </w:tc>
        <w:tc>
          <w:tcPr>
            <w:tcW w:w="5943"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Екзамен</w:t>
            </w:r>
          </w:p>
        </w:tc>
      </w:tr>
      <w:tr w:rsidR="006C5F67">
        <w:tc>
          <w:tcPr>
            <w:tcW w:w="3685" w:type="dxa"/>
            <w:tcBorders>
              <w:top w:val="nil"/>
              <w:left w:val="nil"/>
              <w:bottom w:val="nil"/>
              <w:right w:val="nil"/>
            </w:tcBorders>
            <w:vAlign w:val="center"/>
          </w:tcPr>
          <w:p w:rsidR="006C5F67" w:rsidRDefault="007F0BAD">
            <w:pPr>
              <w:spacing w:after="0" w:line="240" w:lineRule="auto"/>
              <w:rPr>
                <w:rFonts w:ascii="Times New Roman" w:hAnsi="Times New Roman" w:cs="Times New Roman"/>
                <w:b/>
                <w:i/>
                <w:sz w:val="28"/>
                <w:szCs w:val="28"/>
              </w:rPr>
            </w:pPr>
            <w:r>
              <w:rPr>
                <w:rFonts w:ascii="Times New Roman" w:eastAsia="Calibri" w:hAnsi="Times New Roman" w:cs="Times New Roman"/>
                <w:b/>
                <w:i/>
                <w:sz w:val="28"/>
                <w:szCs w:val="28"/>
              </w:rPr>
              <w:t>Аудиторні години</w:t>
            </w:r>
          </w:p>
        </w:tc>
        <w:tc>
          <w:tcPr>
            <w:tcW w:w="5943" w:type="dxa"/>
            <w:tcBorders>
              <w:top w:val="nil"/>
              <w:left w:val="nil"/>
              <w:bottom w:val="nil"/>
              <w:right w:val="nil"/>
            </w:tcBorders>
            <w:vAlign w:val="center"/>
          </w:tcPr>
          <w:p w:rsidR="006C5F67" w:rsidRDefault="00007A43" w:rsidP="00007A43">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lang w:val="ru-RU"/>
              </w:rPr>
              <w:t>45</w:t>
            </w:r>
            <w:r w:rsidR="007F0BAD">
              <w:rPr>
                <w:rFonts w:ascii="Times New Roman" w:eastAsia="Calibri" w:hAnsi="Times New Roman" w:cs="Times New Roman"/>
                <w:b/>
                <w:sz w:val="28"/>
                <w:szCs w:val="28"/>
              </w:rPr>
              <w:t xml:space="preserve"> (</w:t>
            </w:r>
            <w:r w:rsidR="007F0BAD">
              <w:rPr>
                <w:rFonts w:ascii="Times New Roman" w:eastAsia="Calibri" w:hAnsi="Times New Roman" w:cs="Times New Roman"/>
                <w:b/>
                <w:sz w:val="28"/>
                <w:szCs w:val="28"/>
                <w:lang w:val="ru-RU"/>
              </w:rPr>
              <w:t>15</w:t>
            </w:r>
            <w:r w:rsidR="007F0BAD">
              <w:rPr>
                <w:rFonts w:ascii="Times New Roman" w:eastAsia="Calibri" w:hAnsi="Times New Roman" w:cs="Times New Roman"/>
                <w:b/>
                <w:sz w:val="28"/>
                <w:szCs w:val="28"/>
              </w:rPr>
              <w:t xml:space="preserve"> год лекцій, 30 год практичних)</w:t>
            </w:r>
          </w:p>
        </w:tc>
      </w:tr>
    </w:tbl>
    <w:p w:rsidR="006C5F67" w:rsidRDefault="006C5F67">
      <w:pPr>
        <w:spacing w:after="0" w:line="240" w:lineRule="auto"/>
        <w:rPr>
          <w:rFonts w:ascii="Times New Roman" w:hAnsi="Times New Roman" w:cs="Times New Roman"/>
          <w:sz w:val="28"/>
          <w:szCs w:val="28"/>
        </w:rPr>
      </w:pPr>
      <w:bookmarkStart w:id="0" w:name="_GoBack"/>
      <w:bookmarkEnd w:id="0"/>
    </w:p>
    <w:p w:rsidR="006C5F67" w:rsidRDefault="006C5F67">
      <w:pPr>
        <w:spacing w:after="0" w:line="240" w:lineRule="auto"/>
        <w:rPr>
          <w:rFonts w:ascii="Times New Roman" w:hAnsi="Times New Roman" w:cs="Times New Roman"/>
          <w:sz w:val="28"/>
          <w:szCs w:val="28"/>
        </w:rPr>
      </w:pPr>
    </w:p>
    <w:p w:rsidR="006C5F67" w:rsidRDefault="007F0B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Загальний опис дисципліни</w:t>
      </w:r>
    </w:p>
    <w:p w:rsidR="006C5F67" w:rsidRDefault="006C5F67">
      <w:pPr>
        <w:spacing w:after="0" w:line="240" w:lineRule="auto"/>
        <w:jc w:val="center"/>
        <w:rPr>
          <w:rFonts w:ascii="Times New Roman" w:hAnsi="Times New Roman" w:cs="Times New Roman"/>
          <w:i/>
          <w:sz w:val="28"/>
          <w:szCs w:val="28"/>
        </w:rPr>
      </w:pPr>
    </w:p>
    <w:p w:rsidR="006C5F67" w:rsidRDefault="007F0BAD">
      <w:pPr>
        <w:spacing w:after="0" w:line="240" w:lineRule="auto"/>
        <w:ind w:firstLine="708"/>
        <w:jc w:val="both"/>
        <w:rPr>
          <w:rFonts w:ascii="Times New Roman" w:hAnsi="Times New Roman" w:cs="Times New Roman"/>
          <w:i/>
          <w:sz w:val="28"/>
          <w:szCs w:val="28"/>
        </w:rPr>
      </w:pPr>
      <w:r>
        <w:rPr>
          <w:rFonts w:ascii="Times New Roman" w:hAnsi="Times New Roman" w:cs="Times New Roman"/>
          <w:b/>
          <w:i/>
          <w:sz w:val="28"/>
          <w:szCs w:val="28"/>
        </w:rPr>
        <w:t xml:space="preserve">Дисципліна “Ґрунтові ресурси рослинництва природно-кліматичних зон України” </w:t>
      </w:r>
      <w:r>
        <w:rPr>
          <w:rFonts w:ascii="Times New Roman" w:hAnsi="Times New Roman" w:cs="Times New Roman"/>
          <w:i/>
          <w:sz w:val="28"/>
          <w:szCs w:val="28"/>
        </w:rPr>
        <w:t>дозволить студентам отримати знання відносно особливостей використання ґрунтів різних природно-кліматичних зон України для вирощування сільськогосподарських культур, які найпоширеніші у сучасних агропідприємствах і є перспективними для отримання прибутків.</w:t>
      </w:r>
    </w:p>
    <w:p w:rsidR="006C5F67" w:rsidRDefault="007F0BAD">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Головна увага даної дисципліни приділена особливостям ґрунтового покриву різних природно-кліматичних зон для цілей їх раціонального використання у галузі рослинництва, отримання прибутку при вирощуванні сільськогосподарських культур із раціональним використанням ґрунтових ресурсів.</w:t>
      </w:r>
    </w:p>
    <w:p w:rsidR="006C5F67" w:rsidRDefault="007F0BAD">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Слухачі курсу будуть вміти застосовувати підходи оцінювання ґрунтових ресурсів сільськогосподарських земель для цілей придатності вирощування окремих сільськогосподарських культур у конкретних природно-кліматичних зонах. При цьому враховуються планування сівозмін, елементи технологій обробітку ґрунту, система удобрення та захисту посівів,  визначення кращих сортів та гібридів, розробка меліоративних та інших заходів із охорони та збереження високої родючості ґрунтів, що забезпечується проведенням моніторингу, бонітування та економічного оцінювання земель.</w:t>
      </w:r>
    </w:p>
    <w:p w:rsidR="006C5F67" w:rsidRDefault="007F0BAD">
      <w:pPr>
        <w:rPr>
          <w:rFonts w:ascii="Times New Roman" w:hAnsi="Times New Roman" w:cs="Times New Roman"/>
          <w:b/>
          <w:sz w:val="28"/>
          <w:szCs w:val="28"/>
        </w:rPr>
      </w:pPr>
      <w:r>
        <w:br w:type="page"/>
      </w:r>
    </w:p>
    <w:p w:rsidR="006C5F67" w:rsidRDefault="006C5F67">
      <w:pPr>
        <w:spacing w:after="0" w:line="240" w:lineRule="auto"/>
        <w:jc w:val="center"/>
        <w:rPr>
          <w:rFonts w:ascii="Times New Roman" w:hAnsi="Times New Roman" w:cs="Times New Roman"/>
          <w:b/>
          <w:sz w:val="24"/>
          <w:szCs w:val="24"/>
        </w:rPr>
      </w:pPr>
    </w:p>
    <w:p w:rsidR="006C5F67" w:rsidRDefault="007F0B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Теми лекцій:</w:t>
      </w:r>
    </w:p>
    <w:p w:rsidR="006C5F67" w:rsidRDefault="006C5F67">
      <w:pPr>
        <w:spacing w:after="0" w:line="240" w:lineRule="auto"/>
        <w:jc w:val="center"/>
        <w:rPr>
          <w:rFonts w:ascii="Times New Roman" w:hAnsi="Times New Roman" w:cs="Times New Roman"/>
          <w:b/>
          <w:sz w:val="28"/>
          <w:szCs w:val="28"/>
        </w:rPr>
      </w:pPr>
    </w:p>
    <w:p w:rsidR="006C5F67" w:rsidRDefault="007F0BAD">
      <w:pPr>
        <w:pStyle w:val="a9"/>
        <w:numPr>
          <w:ilvl w:val="0"/>
          <w:numId w:val="1"/>
        </w:numPr>
        <w:spacing w:after="0" w:line="240" w:lineRule="auto"/>
        <w:jc w:val="both"/>
      </w:pPr>
      <w:r>
        <w:rPr>
          <w:rFonts w:ascii="Times New Roman" w:hAnsi="Times New Roman" w:cs="Times New Roman"/>
          <w:sz w:val="28"/>
          <w:szCs w:val="28"/>
        </w:rPr>
        <w:t>Природно-кліматичне зонування України</w:t>
      </w:r>
    </w:p>
    <w:p w:rsidR="006C5F67" w:rsidRDefault="007F0BAD">
      <w:pPr>
        <w:pStyle w:val="a9"/>
        <w:numPr>
          <w:ilvl w:val="0"/>
          <w:numId w:val="1"/>
        </w:numPr>
        <w:spacing w:after="0" w:line="240" w:lineRule="auto"/>
        <w:jc w:val="both"/>
      </w:pPr>
      <w:r>
        <w:rPr>
          <w:rFonts w:ascii="Times New Roman" w:hAnsi="Times New Roman" w:cs="Times New Roman"/>
          <w:sz w:val="28"/>
          <w:szCs w:val="28"/>
        </w:rPr>
        <w:t xml:space="preserve">Стан ґрунтового покриву України та сільськогосподарське виробництво </w:t>
      </w:r>
    </w:p>
    <w:p w:rsidR="006C5F67" w:rsidRDefault="007F0BAD">
      <w:pPr>
        <w:pStyle w:val="a9"/>
        <w:numPr>
          <w:ilvl w:val="0"/>
          <w:numId w:val="1"/>
        </w:numPr>
        <w:spacing w:after="0" w:line="240" w:lineRule="auto"/>
        <w:jc w:val="both"/>
      </w:pPr>
      <w:r>
        <w:rPr>
          <w:rFonts w:ascii="Times New Roman" w:hAnsi="Times New Roman" w:cs="Times New Roman"/>
          <w:sz w:val="28"/>
          <w:szCs w:val="28"/>
        </w:rPr>
        <w:t>Ґрунти як складова системи ресурсного забезпечення рослинництва</w:t>
      </w:r>
    </w:p>
    <w:p w:rsidR="006C5F67" w:rsidRDefault="007F0BAD">
      <w:pPr>
        <w:pStyle w:val="a9"/>
        <w:numPr>
          <w:ilvl w:val="0"/>
          <w:numId w:val="1"/>
        </w:numPr>
        <w:spacing w:after="0" w:line="240" w:lineRule="auto"/>
        <w:jc w:val="both"/>
      </w:pPr>
      <w:r>
        <w:rPr>
          <w:rFonts w:ascii="Times New Roman" w:hAnsi="Times New Roman" w:cs="Times New Roman"/>
          <w:sz w:val="28"/>
          <w:szCs w:val="28"/>
        </w:rPr>
        <w:t>Ґрунтові ресурси Полісся як важлива складова прибуткового ведення рослинництва</w:t>
      </w:r>
    </w:p>
    <w:p w:rsidR="006C5F67" w:rsidRDefault="007F0BAD">
      <w:pPr>
        <w:pStyle w:val="a9"/>
        <w:numPr>
          <w:ilvl w:val="0"/>
          <w:numId w:val="1"/>
        </w:numPr>
        <w:spacing w:after="0" w:line="240" w:lineRule="auto"/>
        <w:jc w:val="both"/>
      </w:pPr>
      <w:r>
        <w:rPr>
          <w:rFonts w:ascii="Times New Roman" w:hAnsi="Times New Roman" w:cs="Times New Roman"/>
          <w:sz w:val="28"/>
          <w:szCs w:val="28"/>
        </w:rPr>
        <w:t>Ґрунтові ресурси Лісостепу як складова успішного ведення рослинництва</w:t>
      </w:r>
    </w:p>
    <w:p w:rsidR="006C5F67" w:rsidRDefault="007F0BAD">
      <w:pPr>
        <w:pStyle w:val="a9"/>
        <w:numPr>
          <w:ilvl w:val="0"/>
          <w:numId w:val="1"/>
        </w:numPr>
        <w:spacing w:after="0" w:line="240" w:lineRule="auto"/>
        <w:jc w:val="both"/>
      </w:pPr>
      <w:r>
        <w:rPr>
          <w:rFonts w:ascii="Times New Roman" w:hAnsi="Times New Roman" w:cs="Times New Roman"/>
          <w:sz w:val="28"/>
          <w:szCs w:val="28"/>
        </w:rPr>
        <w:t xml:space="preserve">Ґрунтові ресурси Степу як складова </w:t>
      </w:r>
      <w:proofErr w:type="spellStart"/>
      <w:r>
        <w:rPr>
          <w:rFonts w:ascii="Times New Roman" w:hAnsi="Times New Roman" w:cs="Times New Roman"/>
          <w:sz w:val="28"/>
          <w:szCs w:val="28"/>
        </w:rPr>
        <w:t>безризикового</w:t>
      </w:r>
      <w:proofErr w:type="spellEnd"/>
      <w:r>
        <w:rPr>
          <w:rFonts w:ascii="Times New Roman" w:hAnsi="Times New Roman" w:cs="Times New Roman"/>
          <w:sz w:val="28"/>
          <w:szCs w:val="28"/>
        </w:rPr>
        <w:t xml:space="preserve"> ведення рослинництва </w:t>
      </w:r>
    </w:p>
    <w:p w:rsidR="006C5F67" w:rsidRDefault="007F0BAD">
      <w:pPr>
        <w:pStyle w:val="a9"/>
        <w:numPr>
          <w:ilvl w:val="0"/>
          <w:numId w:val="1"/>
        </w:numPr>
        <w:spacing w:after="0" w:line="240" w:lineRule="auto"/>
        <w:jc w:val="both"/>
      </w:pPr>
      <w:r>
        <w:rPr>
          <w:rFonts w:ascii="Times New Roman" w:hAnsi="Times New Roman" w:cs="Times New Roman"/>
          <w:sz w:val="28"/>
          <w:szCs w:val="28"/>
        </w:rPr>
        <w:t>Ґрунтові ресурси Південного Степу як складова успішного ведення рослинництва при зрошенні</w:t>
      </w:r>
    </w:p>
    <w:p w:rsidR="006C5F67" w:rsidRDefault="006C5F67">
      <w:pPr>
        <w:pStyle w:val="a9"/>
        <w:spacing w:after="0" w:line="240" w:lineRule="auto"/>
        <w:ind w:left="1440"/>
        <w:jc w:val="both"/>
        <w:rPr>
          <w:rFonts w:ascii="Times New Roman" w:hAnsi="Times New Roman" w:cs="Times New Roman"/>
          <w:sz w:val="28"/>
          <w:szCs w:val="28"/>
        </w:rPr>
      </w:pPr>
    </w:p>
    <w:p w:rsidR="006C5F67" w:rsidRDefault="006C5F67">
      <w:pPr>
        <w:pStyle w:val="a9"/>
        <w:spacing w:after="0" w:line="240" w:lineRule="auto"/>
        <w:ind w:left="1440"/>
        <w:jc w:val="both"/>
        <w:rPr>
          <w:rFonts w:ascii="Times New Roman" w:hAnsi="Times New Roman" w:cs="Times New Roman"/>
          <w:sz w:val="28"/>
          <w:szCs w:val="28"/>
        </w:rPr>
      </w:pPr>
    </w:p>
    <w:p w:rsidR="006C5F67" w:rsidRDefault="007F0B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Теми практичних занять:</w:t>
      </w:r>
    </w:p>
    <w:p w:rsidR="006C5F67" w:rsidRDefault="006C5F67">
      <w:pPr>
        <w:spacing w:after="0" w:line="240" w:lineRule="auto"/>
        <w:jc w:val="center"/>
        <w:rPr>
          <w:rFonts w:ascii="Times New Roman" w:hAnsi="Times New Roman" w:cs="Times New Roman"/>
          <w:b/>
          <w:sz w:val="28"/>
          <w:szCs w:val="28"/>
        </w:rPr>
      </w:pPr>
    </w:p>
    <w:p w:rsidR="006C5F67" w:rsidRDefault="007F0BAD">
      <w:pPr>
        <w:spacing w:after="0" w:line="240" w:lineRule="auto"/>
        <w:ind w:left="360"/>
        <w:jc w:val="both"/>
      </w:pPr>
      <w:r>
        <w:rPr>
          <w:rFonts w:ascii="Times New Roman" w:hAnsi="Times New Roman" w:cs="Times New Roman"/>
          <w:sz w:val="28"/>
          <w:szCs w:val="28"/>
        </w:rPr>
        <w:t>1. Природно-кліматичне зонування та агроґрунтове районування України</w:t>
      </w:r>
    </w:p>
    <w:p w:rsidR="006C5F67" w:rsidRDefault="007F0BAD">
      <w:pPr>
        <w:spacing w:after="0" w:line="240" w:lineRule="auto"/>
        <w:ind w:left="360"/>
        <w:jc w:val="both"/>
      </w:pPr>
      <w:r>
        <w:rPr>
          <w:rFonts w:ascii="Times New Roman" w:hAnsi="Times New Roman" w:cs="Times New Roman"/>
          <w:sz w:val="28"/>
          <w:szCs w:val="28"/>
        </w:rPr>
        <w:t>2. Класифікації ґрунтів та їх використання у світі та Україні в агрономічній практиці</w:t>
      </w:r>
    </w:p>
    <w:p w:rsidR="006C5F67" w:rsidRDefault="007F0BAD">
      <w:pPr>
        <w:spacing w:after="0" w:line="240" w:lineRule="auto"/>
        <w:ind w:left="360"/>
        <w:jc w:val="both"/>
      </w:pPr>
      <w:r>
        <w:rPr>
          <w:rFonts w:ascii="Times New Roman" w:hAnsi="Times New Roman" w:cs="Times New Roman"/>
          <w:sz w:val="28"/>
          <w:szCs w:val="28"/>
        </w:rPr>
        <w:t>3. Фактори, що визначають успішне ведення рослинництва. Ґрунтові ресурси рослинництва.</w:t>
      </w:r>
    </w:p>
    <w:p w:rsidR="006C5F67" w:rsidRDefault="007F0BAD">
      <w:pPr>
        <w:spacing w:after="0" w:line="240" w:lineRule="auto"/>
        <w:ind w:left="360"/>
        <w:jc w:val="both"/>
      </w:pPr>
      <w:r>
        <w:rPr>
          <w:rFonts w:ascii="Times New Roman" w:hAnsi="Times New Roman" w:cs="Times New Roman"/>
          <w:sz w:val="28"/>
          <w:szCs w:val="28"/>
        </w:rPr>
        <w:t>4-5. Оцінювання ролі ґрунтового покриву для забезпечення беззбиткового рослинництва</w:t>
      </w:r>
    </w:p>
    <w:p w:rsidR="006C5F67" w:rsidRDefault="007F0BAD">
      <w:pPr>
        <w:spacing w:after="0" w:line="240" w:lineRule="auto"/>
        <w:ind w:left="360"/>
        <w:jc w:val="both"/>
      </w:pPr>
      <w:r>
        <w:rPr>
          <w:rFonts w:ascii="Times New Roman" w:hAnsi="Times New Roman" w:cs="Times New Roman"/>
          <w:sz w:val="28"/>
          <w:szCs w:val="28"/>
        </w:rPr>
        <w:t>6-7. Економічне оцінювання земель, розрахунок економічної ефективності вирощування сільськогосподарської культури в конкретних природно-кліматичних умовах</w:t>
      </w:r>
    </w:p>
    <w:p w:rsidR="006C5F67" w:rsidRDefault="007F0BAD">
      <w:pPr>
        <w:spacing w:after="0" w:line="240" w:lineRule="auto"/>
        <w:ind w:left="360"/>
        <w:jc w:val="both"/>
      </w:pPr>
      <w:r>
        <w:rPr>
          <w:rFonts w:ascii="Times New Roman" w:hAnsi="Times New Roman" w:cs="Times New Roman"/>
          <w:sz w:val="28"/>
          <w:szCs w:val="28"/>
        </w:rPr>
        <w:t>8-9. Бонітування ґрунтів та їх придатність до вирощування окремих сільськогосподарських культур у зоні Полісся</w:t>
      </w:r>
    </w:p>
    <w:p w:rsidR="006C5F67" w:rsidRDefault="007F0BAD">
      <w:pPr>
        <w:spacing w:after="0" w:line="240" w:lineRule="auto"/>
        <w:ind w:left="360"/>
        <w:jc w:val="both"/>
      </w:pPr>
      <w:r>
        <w:rPr>
          <w:rFonts w:ascii="Times New Roman" w:hAnsi="Times New Roman" w:cs="Times New Roman"/>
          <w:sz w:val="28"/>
          <w:szCs w:val="28"/>
        </w:rPr>
        <w:t>10-11. Бонітування  ґрунтів та їх придатність до вирощування окремих сільськогосподарських культур у зоні Лісостепу</w:t>
      </w:r>
    </w:p>
    <w:p w:rsidR="006C5F67" w:rsidRDefault="007F0BAD">
      <w:pPr>
        <w:spacing w:after="0" w:line="240" w:lineRule="auto"/>
        <w:ind w:left="360"/>
        <w:jc w:val="both"/>
      </w:pPr>
      <w:r>
        <w:rPr>
          <w:rFonts w:ascii="Times New Roman" w:hAnsi="Times New Roman" w:cs="Times New Roman"/>
          <w:sz w:val="28"/>
          <w:szCs w:val="28"/>
        </w:rPr>
        <w:t>12-13. Бонітування  ґрунтів та їх придатність до вирощування окремих  сільськогосподарських культур у зоні  Степу</w:t>
      </w:r>
    </w:p>
    <w:p w:rsidR="006C5F67" w:rsidRDefault="007F0BAD">
      <w:pPr>
        <w:spacing w:after="0" w:line="240" w:lineRule="auto"/>
        <w:ind w:left="360"/>
        <w:jc w:val="both"/>
      </w:pPr>
      <w:r>
        <w:rPr>
          <w:rFonts w:ascii="Times New Roman" w:hAnsi="Times New Roman" w:cs="Times New Roman"/>
          <w:sz w:val="28"/>
          <w:szCs w:val="28"/>
        </w:rPr>
        <w:t>14-15. Бонітування  ґрунтів та їх придатність до вирощування окремих  сільськогосподарських культур у зоні  Південного Степу</w:t>
      </w:r>
    </w:p>
    <w:p w:rsidR="006C5F67" w:rsidRDefault="006C5F67">
      <w:pPr>
        <w:spacing w:after="0" w:line="240" w:lineRule="auto"/>
        <w:ind w:left="360"/>
        <w:jc w:val="both"/>
        <w:rPr>
          <w:rFonts w:ascii="Times New Roman" w:hAnsi="Times New Roman" w:cs="Times New Roman"/>
          <w:sz w:val="28"/>
          <w:szCs w:val="28"/>
        </w:rPr>
      </w:pPr>
    </w:p>
    <w:p w:rsidR="006C5F67" w:rsidRDefault="006C5F67">
      <w:pPr>
        <w:spacing w:after="0" w:line="240" w:lineRule="auto"/>
        <w:ind w:left="360"/>
      </w:pPr>
    </w:p>
    <w:sectPr w:rsidR="006C5F67">
      <w:pgSz w:w="11906" w:h="16838"/>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90C3F"/>
    <w:multiLevelType w:val="multilevel"/>
    <w:tmpl w:val="FAD41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98C7099"/>
    <w:multiLevelType w:val="multilevel"/>
    <w:tmpl w:val="D6D68F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67"/>
    <w:rsid w:val="00007A43"/>
    <w:rsid w:val="006C5F67"/>
    <w:rsid w:val="007F0BA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C947"/>
  <w15:docId w15:val="{C18ABF8C-2675-485E-974A-6B7D83D7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2">
    <w:name w:val="heading 2"/>
    <w:basedOn w:val="a"/>
    <w:link w:val="20"/>
    <w:uiPriority w:val="9"/>
    <w:qFormat/>
    <w:rsid w:val="00703E9E"/>
    <w:pPr>
      <w:spacing w:beforeAutospacing="1"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іперпосилання1"/>
    <w:basedOn w:val="a0"/>
    <w:uiPriority w:val="99"/>
    <w:unhideWhenUsed/>
    <w:rsid w:val="00E30EC4"/>
    <w:rPr>
      <w:color w:val="0563C1" w:themeColor="hyperlink"/>
      <w:u w:val="single"/>
    </w:rPr>
  </w:style>
  <w:style w:type="character" w:customStyle="1" w:styleId="fontstyle21">
    <w:name w:val="fontstyle21"/>
    <w:qFormat/>
    <w:rsid w:val="00E30EC4"/>
    <w:rPr>
      <w:rFonts w:ascii="Times New Roman" w:hAnsi="Times New Roman" w:cs="Times New Roman"/>
      <w:b w:val="0"/>
      <w:bCs w:val="0"/>
      <w:i w:val="0"/>
      <w:iCs w:val="0"/>
      <w:color w:val="000000"/>
      <w:sz w:val="28"/>
      <w:szCs w:val="28"/>
    </w:rPr>
  </w:style>
  <w:style w:type="character" w:customStyle="1" w:styleId="20">
    <w:name w:val="Заголовок 2 Знак"/>
    <w:basedOn w:val="a0"/>
    <w:link w:val="2"/>
    <w:uiPriority w:val="9"/>
    <w:qFormat/>
    <w:rsid w:val="00703E9E"/>
    <w:rPr>
      <w:rFonts w:ascii="Times New Roman" w:eastAsia="Times New Roman" w:hAnsi="Times New Roman" w:cs="Times New Roman"/>
      <w:b/>
      <w:bCs/>
      <w:sz w:val="36"/>
      <w:szCs w:val="36"/>
    </w:rPr>
  </w:style>
  <w:style w:type="character" w:styleId="a3">
    <w:name w:val="Strong"/>
    <w:basedOn w:val="a0"/>
    <w:uiPriority w:val="22"/>
    <w:qFormat/>
    <w:rsid w:val="00703E9E"/>
    <w:rPr>
      <w:b/>
      <w:bCs/>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Покажчик"/>
    <w:basedOn w:val="a"/>
    <w:qFormat/>
    <w:pPr>
      <w:suppressLineNumbers/>
    </w:pPr>
    <w:rPr>
      <w:rFonts w:cs="Lucida Sans"/>
    </w:rPr>
  </w:style>
  <w:style w:type="paragraph" w:styleId="a9">
    <w:name w:val="List Paragraph"/>
    <w:basedOn w:val="a"/>
    <w:uiPriority w:val="34"/>
    <w:qFormat/>
    <w:rsid w:val="00D444FA"/>
    <w:pPr>
      <w:ind w:left="720"/>
      <w:contextualSpacing/>
    </w:pPr>
  </w:style>
  <w:style w:type="paragraph" w:styleId="aa">
    <w:name w:val="Normal (Web)"/>
    <w:basedOn w:val="a"/>
    <w:uiPriority w:val="99"/>
    <w:semiHidden/>
    <w:unhideWhenUsed/>
    <w:qFormat/>
    <w:rsid w:val="00F348B4"/>
    <w:pPr>
      <w:spacing w:beforeAutospacing="1" w:afterAutospacing="1" w:line="240" w:lineRule="auto"/>
    </w:pPr>
    <w:rPr>
      <w:rFonts w:ascii="Times New Roman" w:eastAsia="Times New Roman" w:hAnsi="Times New Roman" w:cs="Times New Roman"/>
      <w:sz w:val="24"/>
      <w:szCs w:val="24"/>
      <w:lang w:val="en-US"/>
    </w:rPr>
  </w:style>
  <w:style w:type="paragraph" w:customStyle="1" w:styleId="FR2">
    <w:name w:val="FR2"/>
    <w:qFormat/>
    <w:rsid w:val="006B7BC5"/>
    <w:pPr>
      <w:widowControl w:val="0"/>
      <w:spacing w:line="259" w:lineRule="auto"/>
    </w:pPr>
    <w:rPr>
      <w:rFonts w:ascii="Times New Roman" w:eastAsia="SimSun" w:hAnsi="Times New Roman" w:cs="Times New Roman"/>
      <w:sz w:val="28"/>
      <w:szCs w:val="28"/>
      <w:lang w:eastAsia="ru-RU"/>
    </w:rPr>
  </w:style>
  <w:style w:type="table" w:styleId="ab">
    <w:name w:val="Table Grid"/>
    <w:basedOn w:val="a1"/>
    <w:uiPriority w:val="39"/>
    <w:rsid w:val="0078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EC768-F145-4E05-994F-6DD94D38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1908</Words>
  <Characters>1089</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YuSOIL</dc:creator>
  <dc:description/>
  <cp:lastModifiedBy>user</cp:lastModifiedBy>
  <cp:revision>3</cp:revision>
  <dcterms:created xsi:type="dcterms:W3CDTF">2021-11-02T12:00:00Z</dcterms:created>
  <dcterms:modified xsi:type="dcterms:W3CDTF">2021-11-02T12:26:00Z</dcterms:modified>
</cp:coreProperties>
</file>