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0D58" w14:textId="77777777" w:rsidR="00654D54" w:rsidRPr="001D1E67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1D1E67" w14:paraId="07DF4CDA" w14:textId="77777777" w:rsidTr="00A96EF1">
        <w:tc>
          <w:tcPr>
            <w:tcW w:w="2978" w:type="dxa"/>
            <w:vMerge w:val="restart"/>
          </w:tcPr>
          <w:p w14:paraId="068497A7" w14:textId="77777777" w:rsidR="001431F8" w:rsidRPr="001D1E67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9E7C4D" wp14:editId="48137CB3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7BA9B5D" w14:textId="77777777" w:rsidR="00EC07A1" w:rsidRPr="001D1E67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7C2E5C13" w14:textId="77777777" w:rsidR="008D7D8B" w:rsidRPr="001D1E67" w:rsidRDefault="008D7D8B" w:rsidP="004B2229">
            <w:pPr>
              <w:spacing w:line="360" w:lineRule="auto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 xml:space="preserve">     </w:t>
            </w:r>
          </w:p>
          <w:p w14:paraId="3CE71361" w14:textId="182E43BD" w:rsidR="001431F8" w:rsidRPr="001D1E67" w:rsidRDefault="004B2229" w:rsidP="001D1E67">
            <w:pPr>
              <w:ind w:left="20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 xml:space="preserve"> </w:t>
            </w:r>
            <w:r w:rsidR="008D7D8B" w:rsidRPr="001D1E6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>«</w:t>
            </w:r>
            <w:r w:rsidR="00A363CB" w:rsidRPr="001D1E6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4"/>
              </w:rPr>
              <w:t>ЕПІДЕМІОЛОГІЯ: ІНФЕКЦІЙНІ ХВОРОБИ»</w:t>
            </w:r>
          </w:p>
        </w:tc>
      </w:tr>
      <w:tr w:rsidR="001431F8" w:rsidRPr="001D1E67" w14:paraId="062CF5C2" w14:textId="77777777" w:rsidTr="00A96EF1">
        <w:tc>
          <w:tcPr>
            <w:tcW w:w="2978" w:type="dxa"/>
            <w:vMerge/>
          </w:tcPr>
          <w:p w14:paraId="1C940E28" w14:textId="77777777" w:rsidR="001431F8" w:rsidRPr="001D1E6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ECE57E" w14:textId="33B4B636" w:rsidR="001431F8" w:rsidRPr="001D1E67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1D1E6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486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1D1E67" w14:paraId="01ADBB68" w14:textId="77777777" w:rsidTr="00A96EF1">
        <w:tc>
          <w:tcPr>
            <w:tcW w:w="2978" w:type="dxa"/>
            <w:vMerge/>
          </w:tcPr>
          <w:p w14:paraId="05DCC4EF" w14:textId="77777777" w:rsidR="00A96EF1" w:rsidRPr="001D1E67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17BB3CF" w14:textId="7AD1DC01" w:rsidR="00A96EF1" w:rsidRPr="001D1E67" w:rsidRDefault="00A96EF1" w:rsidP="00A363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A363CB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229 «Громадське здоров’я»</w:t>
            </w:r>
          </w:p>
        </w:tc>
      </w:tr>
      <w:tr w:rsidR="001431F8" w:rsidRPr="001D1E67" w14:paraId="79A36B92" w14:textId="77777777" w:rsidTr="00A96EF1">
        <w:tc>
          <w:tcPr>
            <w:tcW w:w="2978" w:type="dxa"/>
            <w:vMerge/>
          </w:tcPr>
          <w:p w14:paraId="00FB48E5" w14:textId="77777777" w:rsidR="001431F8" w:rsidRPr="001D1E6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3283C70" w14:textId="4942C146" w:rsidR="001431F8" w:rsidRPr="001D1E67" w:rsidRDefault="001431F8" w:rsidP="00A36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  <w:r w:rsidR="00A363CB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«Громадське здоров’я»</w:t>
            </w:r>
          </w:p>
        </w:tc>
      </w:tr>
      <w:tr w:rsidR="001431F8" w:rsidRPr="001D1E67" w14:paraId="6CDDAC99" w14:textId="77777777" w:rsidTr="00A96EF1">
        <w:tc>
          <w:tcPr>
            <w:tcW w:w="2978" w:type="dxa"/>
            <w:vMerge/>
          </w:tcPr>
          <w:p w14:paraId="0D62C856" w14:textId="77777777" w:rsidR="001431F8" w:rsidRPr="001D1E6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AC4E4E" w14:textId="77605220" w:rsidR="001431F8" w:rsidRPr="001D1E67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31B33" w:rsidRPr="001D1E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31911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186F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31911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186F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5186F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н.р</w:t>
            </w:r>
            <w:proofErr w:type="spellEnd"/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A53486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A44CF9D" w14:textId="43B90CB7" w:rsidR="0020200E" w:rsidRPr="001D1E67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131B33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1431F8" w:rsidRPr="001D1E67" w14:paraId="340781E4" w14:textId="77777777" w:rsidTr="00A96EF1">
        <w:tc>
          <w:tcPr>
            <w:tcW w:w="2978" w:type="dxa"/>
            <w:vMerge/>
          </w:tcPr>
          <w:p w14:paraId="0F335F5F" w14:textId="77777777" w:rsidR="001431F8" w:rsidRPr="001D1E6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0DE87AB" w14:textId="7C5DE9D6" w:rsidR="001431F8" w:rsidRPr="001D1E67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A363CB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1431F8" w:rsidRPr="001D1E67" w14:paraId="51BC2C17" w14:textId="77777777" w:rsidTr="00A96EF1">
        <w:tc>
          <w:tcPr>
            <w:tcW w:w="2978" w:type="dxa"/>
            <w:vMerge/>
          </w:tcPr>
          <w:p w14:paraId="1F0EC858" w14:textId="77777777" w:rsidR="001431F8" w:rsidRPr="001D1E6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5289A82" w14:textId="596D9C6F" w:rsidR="001431F8" w:rsidRPr="001D1E67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="00F1212C"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31B33" w:rsidRPr="001D1E67">
              <w:rPr>
                <w:rFonts w:ascii="Times New Roman" w:hAnsi="Times New Roman" w:cs="Times New Roman"/>
                <w:szCs w:val="20"/>
              </w:rPr>
              <w:t>українська</w:t>
            </w:r>
          </w:p>
        </w:tc>
      </w:tr>
      <w:tr w:rsidR="00A96EF1" w:rsidRPr="001D1E67" w14:paraId="42121DF0" w14:textId="77777777" w:rsidTr="00A96EF1">
        <w:tc>
          <w:tcPr>
            <w:tcW w:w="2978" w:type="dxa"/>
          </w:tcPr>
          <w:p w14:paraId="3AF45768" w14:textId="77777777" w:rsidR="00A96EF1" w:rsidRPr="001D1E67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4AC9FD95" w14:textId="77777777" w:rsidR="00A96EF1" w:rsidRPr="001D1E67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1D1E67" w14:paraId="039A914E" w14:textId="77777777" w:rsidTr="00A96EF1">
        <w:tc>
          <w:tcPr>
            <w:tcW w:w="2978" w:type="dxa"/>
          </w:tcPr>
          <w:p w14:paraId="4C134DBD" w14:textId="77777777" w:rsidR="001431F8" w:rsidRPr="001D1E67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1B9A256D" w14:textId="6E5CE0D5" w:rsidR="001431F8" w:rsidRPr="001D1E67" w:rsidRDefault="00C82415" w:rsidP="00C824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Недосєков</w:t>
            </w:r>
            <w:proofErr w:type="spellEnd"/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Віталій Володимирович</w:t>
            </w:r>
          </w:p>
        </w:tc>
      </w:tr>
      <w:tr w:rsidR="001431F8" w:rsidRPr="001D1E67" w14:paraId="53346999" w14:textId="77777777" w:rsidTr="00A96EF1">
        <w:tc>
          <w:tcPr>
            <w:tcW w:w="2978" w:type="dxa"/>
          </w:tcPr>
          <w:p w14:paraId="5BC5147B" w14:textId="77777777" w:rsidR="001431F8" w:rsidRPr="001D1E67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9A9D6AE" w14:textId="3E4705E7" w:rsidR="00131B33" w:rsidRPr="001D1E67" w:rsidRDefault="00C82415" w:rsidP="00131B33">
            <w:pPr>
              <w:rPr>
                <w:rStyle w:val="a6"/>
                <w:rFonts w:ascii="Times New Roman" w:hAnsi="Times New Roman" w:cs="Times New Roman"/>
                <w:lang w:val="ru-RU"/>
              </w:rPr>
            </w:pPr>
            <w:proofErr w:type="spellStart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nedosekov</w:t>
            </w:r>
            <w:proofErr w:type="spellEnd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</w:t>
            </w:r>
            <w:proofErr w:type="spellStart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vv</w:t>
            </w:r>
            <w:proofErr w:type="spellEnd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nubip</w:t>
            </w:r>
            <w:proofErr w:type="spellEnd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1D1E67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  <w:r w:rsidRPr="001D1E67">
              <w:rPr>
                <w:rStyle w:val="a6"/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7A294D5" w14:textId="104D89BD" w:rsidR="00581698" w:rsidRPr="001D1E67" w:rsidRDefault="00581698" w:rsidP="00131B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  <w:r w:rsidR="00A96EF1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1D1E67" w14:paraId="4AC37420" w14:textId="77777777" w:rsidTr="00A96EF1">
        <w:tc>
          <w:tcPr>
            <w:tcW w:w="2978" w:type="dxa"/>
          </w:tcPr>
          <w:p w14:paraId="1CC3F198" w14:textId="77777777" w:rsidR="001431F8" w:rsidRPr="001D1E67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241813FC" w14:textId="7F8B6042" w:rsidR="001431F8" w:rsidRPr="001D1E67" w:rsidRDefault="00937E1F" w:rsidP="005C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>
                <w:rPr>
                  <w:rStyle w:val="a6"/>
                </w:rPr>
                <w:t>https://elearn.nubip.edu.ua/course/view.php?id=115</w:t>
              </w:r>
            </w:hyperlink>
          </w:p>
        </w:tc>
      </w:tr>
    </w:tbl>
    <w:p w14:paraId="79E51204" w14:textId="77777777" w:rsidR="00725A13" w:rsidRPr="001D1E67" w:rsidRDefault="00725A13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D41D355" w14:textId="52CC1240" w:rsidR="00EC07A1" w:rsidRPr="001D1E67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D1E6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798E08B" w14:textId="77777777" w:rsidR="00DB079A" w:rsidRPr="001D1E67" w:rsidRDefault="00DB079A" w:rsidP="004B22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693944" w14:textId="18C782EF" w:rsidR="00A363CB" w:rsidRPr="001D1E67" w:rsidRDefault="0044377B" w:rsidP="00A363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E67"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5C41D3" w:rsidRPr="001D1E67">
        <w:rPr>
          <w:rFonts w:ascii="Times New Roman" w:hAnsi="Times New Roman" w:cs="Times New Roman"/>
          <w:sz w:val="24"/>
          <w:szCs w:val="24"/>
        </w:rPr>
        <w:t xml:space="preserve"> «</w:t>
      </w:r>
      <w:r w:rsidR="00A363CB" w:rsidRPr="001D1E67">
        <w:rPr>
          <w:rFonts w:ascii="Times New Roman" w:hAnsi="Times New Roman" w:cs="Times New Roman"/>
          <w:sz w:val="24"/>
          <w:szCs w:val="24"/>
        </w:rPr>
        <w:t>ЕПІДЕМІОЛОГІЯ: ІНФЕКЦІЙНІ ХВОРОБИ</w:t>
      </w:r>
      <w:r w:rsidR="00124433" w:rsidRPr="001D1E67">
        <w:rPr>
          <w:rFonts w:ascii="Times New Roman" w:hAnsi="Times New Roman" w:cs="Times New Roman"/>
          <w:sz w:val="24"/>
          <w:szCs w:val="24"/>
        </w:rPr>
        <w:t xml:space="preserve">» </w:t>
      </w:r>
      <w:r w:rsidR="00A363CB" w:rsidRPr="001D1E67">
        <w:rPr>
          <w:rFonts w:ascii="Times New Roman" w:hAnsi="Times New Roman" w:cs="Times New Roman"/>
          <w:sz w:val="24"/>
          <w:szCs w:val="24"/>
        </w:rPr>
        <w:t xml:space="preserve">дозволяє визначити причини виникнення інфекцій; роль мікроорганізмів, стану організму тварин і факторів зовнішнього середовища в виникненні різних форм інфекції; розуміти суть </w:t>
      </w:r>
      <w:proofErr w:type="spellStart"/>
      <w:r w:rsidR="00A363CB" w:rsidRPr="001D1E67">
        <w:rPr>
          <w:rFonts w:ascii="Times New Roman" w:hAnsi="Times New Roman" w:cs="Times New Roman"/>
          <w:sz w:val="24"/>
          <w:szCs w:val="24"/>
        </w:rPr>
        <w:t>епідемичного</w:t>
      </w:r>
      <w:proofErr w:type="spellEnd"/>
      <w:r w:rsidR="00A363CB" w:rsidRPr="001D1E67">
        <w:rPr>
          <w:rFonts w:ascii="Times New Roman" w:hAnsi="Times New Roman" w:cs="Times New Roman"/>
          <w:sz w:val="24"/>
          <w:szCs w:val="24"/>
        </w:rPr>
        <w:t xml:space="preserve"> процесу, роль джерел збудника інфекції, механізмів передачі і стану сприйнятливості тварин в розвитку і згасанні епідемій; розуміти профілактичні заходи як єдину державну науково-</w:t>
      </w:r>
      <w:proofErr w:type="spellStart"/>
      <w:r w:rsidR="00A363CB" w:rsidRPr="001D1E67">
        <w:rPr>
          <w:rFonts w:ascii="Times New Roman" w:hAnsi="Times New Roman" w:cs="Times New Roman"/>
          <w:sz w:val="24"/>
          <w:szCs w:val="24"/>
        </w:rPr>
        <w:t>обгрунтовану</w:t>
      </w:r>
      <w:proofErr w:type="spellEnd"/>
      <w:r w:rsidR="00A363CB" w:rsidRPr="001D1E67">
        <w:rPr>
          <w:rFonts w:ascii="Times New Roman" w:hAnsi="Times New Roman" w:cs="Times New Roman"/>
          <w:sz w:val="24"/>
          <w:szCs w:val="24"/>
        </w:rPr>
        <w:t xml:space="preserve"> систему профілактики і заходів контролю </w:t>
      </w:r>
      <w:proofErr w:type="spellStart"/>
      <w:r w:rsidR="00A363CB" w:rsidRPr="001D1E67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A363CB" w:rsidRPr="001D1E67">
        <w:rPr>
          <w:rFonts w:ascii="Times New Roman" w:hAnsi="Times New Roman" w:cs="Times New Roman"/>
          <w:sz w:val="24"/>
          <w:szCs w:val="24"/>
        </w:rPr>
        <w:t xml:space="preserve">. Крім того, </w:t>
      </w:r>
      <w:r w:rsidR="00A363CB"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дисципліна дозволяє вивчити зоонози бактеріального і вірусного походження (зоонози продуктивних,  домашніх та екзотичних тварин, а також природно-осередкові та векторні зоонози) та харчові зоонози (характеристика найбільш поширених харчових зоонозів (бактеріальних,</w:t>
      </w:r>
      <w:r w:rsidR="00A363CB"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вірусних, паразитарних), шляхи забруднення харчових продуктів) та розслідування та аналіз спалахів </w:t>
      </w:r>
      <w:proofErr w:type="spellStart"/>
      <w:r w:rsidR="00A363CB"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найбльш</w:t>
      </w:r>
      <w:proofErr w:type="spellEnd"/>
      <w:r w:rsidR="00A363CB"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поширених харчових зоонозів.</w:t>
      </w:r>
    </w:p>
    <w:p w14:paraId="1DC6C17E" w14:textId="77777777" w:rsidR="00A363CB" w:rsidRPr="001D1E67" w:rsidRDefault="00A363CB" w:rsidP="00A363CB">
      <w:pPr>
        <w:pStyle w:val="TableParagraph"/>
        <w:ind w:left="0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Особливим фрагментом дисципліни є вивчення базових питань, що стосуються біологічної безпеки та захисту. Основою дисципліни є європейський досвід систем біологічної безпеки в промислових підприємствах і країнах. Розуміння системи формування проблеми біологічної безпеки та випадки застосування біологічної зброї. Розгляд використання патогенів природнього різноманіття (віруси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Хімера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Ніпах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Ебола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віспи та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ін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А також підготовленість до оцінки кризових ситуацій щодо біобезпеки та менеджменту кризових ситуацій. </w:t>
      </w:r>
    </w:p>
    <w:p w14:paraId="6CF9C5CE" w14:textId="77777777" w:rsidR="00A363CB" w:rsidRPr="001D1E67" w:rsidRDefault="00A363CB" w:rsidP="00A363CB">
      <w:pPr>
        <w:pStyle w:val="TableParagraph"/>
        <w:ind w:left="0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Крім того, дисципліна буде вивчати лабораторний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біозахист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оцінку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біоризиків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різних умовах (відбір, передача і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транспорування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біологічних матеріалів, проведення досліджень та утилізація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біоматеріалу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Також буде вивчена технологія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деконтамінації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стемпінг</w:t>
      </w:r>
      <w:proofErr w:type="spellEnd"/>
      <w:r w:rsidRPr="001D1E67">
        <w:rPr>
          <w:rFonts w:ascii="Times New Roman" w:hAnsi="Times New Roman" w:cs="Times New Roman"/>
          <w:sz w:val="24"/>
          <w:szCs w:val="24"/>
          <w:shd w:val="clear" w:color="auto" w:fill="FFFFFF"/>
        </w:rPr>
        <w:t>-ауту тварин.</w:t>
      </w:r>
    </w:p>
    <w:p w14:paraId="4526512B" w14:textId="2A5190C3" w:rsidR="00A363CB" w:rsidRPr="001D1E67" w:rsidRDefault="00A363CB" w:rsidP="00A363CB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E67">
        <w:rPr>
          <w:rFonts w:ascii="Times New Roman" w:hAnsi="Times New Roman" w:cs="Times New Roman"/>
          <w:sz w:val="24"/>
          <w:szCs w:val="24"/>
        </w:rPr>
        <w:t xml:space="preserve">Отже, дисципліна дозволяє поглибити теоретичну та практичну  підготовку щодо базових патогенів, транскордонних емерджентних </w:t>
      </w:r>
      <w:proofErr w:type="spellStart"/>
      <w:r w:rsidRPr="001D1E67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1D1E67">
        <w:rPr>
          <w:rFonts w:ascii="Times New Roman" w:hAnsi="Times New Roman" w:cs="Times New Roman"/>
          <w:sz w:val="24"/>
          <w:szCs w:val="24"/>
        </w:rPr>
        <w:t xml:space="preserve">, та базових компонентів біологічної безпеки та </w:t>
      </w:r>
      <w:proofErr w:type="spellStart"/>
      <w:r w:rsidRPr="001D1E67">
        <w:rPr>
          <w:rFonts w:ascii="Times New Roman" w:hAnsi="Times New Roman" w:cs="Times New Roman"/>
          <w:sz w:val="24"/>
          <w:szCs w:val="24"/>
        </w:rPr>
        <w:t>біозахисту</w:t>
      </w:r>
      <w:proofErr w:type="spellEnd"/>
      <w:r w:rsidRPr="001D1E67">
        <w:rPr>
          <w:rFonts w:ascii="Times New Roman" w:hAnsi="Times New Roman" w:cs="Times New Roman"/>
          <w:sz w:val="24"/>
          <w:szCs w:val="24"/>
        </w:rPr>
        <w:t xml:space="preserve">. Під час курсу вивчаються передумови виникнення, трансмісії, ураження та контролю транскордонних емерджентних </w:t>
      </w:r>
      <w:proofErr w:type="spellStart"/>
      <w:r w:rsidRPr="001D1E67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1D1E67">
        <w:rPr>
          <w:rFonts w:ascii="Times New Roman" w:hAnsi="Times New Roman" w:cs="Times New Roman"/>
          <w:sz w:val="24"/>
          <w:szCs w:val="24"/>
        </w:rPr>
        <w:t xml:space="preserve"> на основі оцінки ризику, </w:t>
      </w:r>
      <w:proofErr w:type="spellStart"/>
      <w:r w:rsidRPr="001D1E67">
        <w:rPr>
          <w:rFonts w:ascii="Times New Roman" w:hAnsi="Times New Roman" w:cs="Times New Roman"/>
          <w:sz w:val="24"/>
          <w:szCs w:val="24"/>
        </w:rPr>
        <w:t>симуляційних</w:t>
      </w:r>
      <w:proofErr w:type="spellEnd"/>
      <w:r w:rsidRPr="001D1E67">
        <w:rPr>
          <w:rFonts w:ascii="Times New Roman" w:hAnsi="Times New Roman" w:cs="Times New Roman"/>
          <w:sz w:val="24"/>
          <w:szCs w:val="24"/>
        </w:rPr>
        <w:t xml:space="preserve"> вправ та прогнозування.</w:t>
      </w:r>
    </w:p>
    <w:p w14:paraId="162B5665" w14:textId="179E1418" w:rsidR="006D1E93" w:rsidRPr="001D1E67" w:rsidRDefault="006D1E93" w:rsidP="00A363CB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68A31A" w14:textId="77777777" w:rsidR="006D1E93" w:rsidRPr="001D1E67" w:rsidRDefault="006D1E93" w:rsidP="006D1E93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460C03" w14:textId="77777777" w:rsidR="006D1E93" w:rsidRPr="001D1E67" w:rsidRDefault="006D1E93" w:rsidP="006D1E93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47BAC3" w14:textId="77777777" w:rsidR="006D1E93" w:rsidRPr="001D1E67" w:rsidRDefault="006D1E93" w:rsidP="006D1E93">
      <w:pPr>
        <w:spacing w:after="0" w:line="240" w:lineRule="auto"/>
        <w:jc w:val="center"/>
        <w:rPr>
          <w:rFonts w:ascii="Times New Roman" w:hAnsi="Times New Roman" w:cs="Times New Roman"/>
          <w:b/>
          <w:color w:val="323E4F"/>
          <w:sz w:val="24"/>
          <w:szCs w:val="24"/>
        </w:rPr>
      </w:pPr>
      <w:r w:rsidRPr="001D1E67">
        <w:rPr>
          <w:rFonts w:ascii="Times New Roman" w:hAnsi="Times New Roman" w:cs="Times New Roman"/>
          <w:b/>
          <w:color w:val="323E4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84"/>
        <w:gridCol w:w="2126"/>
        <w:gridCol w:w="2127"/>
        <w:gridCol w:w="1504"/>
        <w:gridCol w:w="25"/>
        <w:gridCol w:w="13"/>
      </w:tblGrid>
      <w:tr w:rsidR="006D1E93" w:rsidRPr="001D1E67" w14:paraId="0499FEC9" w14:textId="77777777" w:rsidTr="009642A7">
        <w:trPr>
          <w:gridAfter w:val="1"/>
          <w:wAfter w:w="13" w:type="dxa"/>
        </w:trPr>
        <w:tc>
          <w:tcPr>
            <w:tcW w:w="2155" w:type="dxa"/>
            <w:vAlign w:val="center"/>
          </w:tcPr>
          <w:p w14:paraId="61D4A56D" w14:textId="77777777" w:rsidR="006D1E93" w:rsidRPr="001D1E67" w:rsidRDefault="006D1E93" w:rsidP="0096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84" w:type="dxa"/>
            <w:vAlign w:val="center"/>
          </w:tcPr>
          <w:p w14:paraId="35DB3797" w14:textId="77777777" w:rsidR="006D1E93" w:rsidRPr="001D1E67" w:rsidRDefault="006D1E93" w:rsidP="0096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35F07266" w14:textId="77777777" w:rsidR="006D1E93" w:rsidRPr="001D1E67" w:rsidRDefault="006D1E93" w:rsidP="0096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E67">
              <w:rPr>
                <w:rFonts w:ascii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126" w:type="dxa"/>
            <w:vAlign w:val="center"/>
          </w:tcPr>
          <w:p w14:paraId="64618506" w14:textId="77777777" w:rsidR="006D1E93" w:rsidRPr="001D1E67" w:rsidRDefault="006D1E93" w:rsidP="0096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27" w:type="dxa"/>
            <w:vAlign w:val="center"/>
          </w:tcPr>
          <w:p w14:paraId="0C392C72" w14:textId="77777777" w:rsidR="006D1E93" w:rsidRPr="001D1E67" w:rsidRDefault="006D1E93" w:rsidP="0096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29" w:type="dxa"/>
            <w:gridSpan w:val="2"/>
            <w:vAlign w:val="center"/>
          </w:tcPr>
          <w:p w14:paraId="086ACF29" w14:textId="77777777" w:rsidR="006D1E93" w:rsidRPr="001D1E67" w:rsidRDefault="006D1E93" w:rsidP="0096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6D1E93" w:rsidRPr="001D1E67" w14:paraId="25D81FD6" w14:textId="77777777" w:rsidTr="009642A7">
        <w:tc>
          <w:tcPr>
            <w:tcW w:w="9334" w:type="dxa"/>
            <w:gridSpan w:val="7"/>
          </w:tcPr>
          <w:p w14:paraId="22D022EA" w14:textId="77777777" w:rsidR="006D1E93" w:rsidRPr="001D1E67" w:rsidRDefault="006D1E93" w:rsidP="009642A7">
            <w:pPr>
              <w:jc w:val="center"/>
              <w:rPr>
                <w:rStyle w:val="tlid-translation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E67">
              <w:rPr>
                <w:rStyle w:val="tlid-translation"/>
                <w:rFonts w:ascii="Times New Roman" w:eastAsia="Times New Roman" w:hAnsi="Times New Roman" w:cs="Times New Roman"/>
                <w:sz w:val="28"/>
                <w:szCs w:val="28"/>
              </w:rPr>
              <w:t>Модуль 1</w:t>
            </w:r>
          </w:p>
        </w:tc>
      </w:tr>
      <w:tr w:rsidR="006D1E93" w:rsidRPr="001D1E67" w14:paraId="067D7A45" w14:textId="77777777" w:rsidTr="009642A7">
        <w:tc>
          <w:tcPr>
            <w:tcW w:w="9334" w:type="dxa"/>
            <w:gridSpan w:val="7"/>
          </w:tcPr>
          <w:p w14:paraId="6F4A0A63" w14:textId="2D64A6CE" w:rsidR="006D1E93" w:rsidRPr="001D1E67" w:rsidRDefault="006D1E93" w:rsidP="006D1E93">
            <w:pPr>
              <w:ind w:firstLine="709"/>
              <w:jc w:val="center"/>
              <w:rPr>
                <w:rStyle w:val="tlid-translation"/>
                <w:rFonts w:ascii="Times New Roman" w:eastAsia="Times New Roman" w:hAnsi="Times New Roman" w:cs="Times New Roman"/>
                <w:b/>
              </w:rPr>
            </w:pPr>
            <w:r w:rsidRPr="001D1E67">
              <w:rPr>
                <w:rStyle w:val="tlid-translation"/>
                <w:rFonts w:ascii="Times New Roman" w:eastAsia="Times New Roman" w:hAnsi="Times New Roman" w:cs="Times New Roman"/>
                <w:b/>
                <w:bCs/>
              </w:rPr>
              <w:t xml:space="preserve">Змістовий модуль 1. </w:t>
            </w:r>
            <w:r w:rsidRPr="001D1E67">
              <w:rPr>
                <w:rStyle w:val="tlid-translation"/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Принципи епідеміології</w:t>
            </w:r>
            <w:r w:rsidRPr="001D1E67">
              <w:rPr>
                <w:rStyle w:val="tlid-translation"/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D1E93" w:rsidRPr="001D1E67" w14:paraId="22973DC7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628815F0" w14:textId="77777777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Принципи прикладної  епідеміології</w:t>
            </w:r>
          </w:p>
          <w:p w14:paraId="5A62E889" w14:textId="77777777" w:rsidR="006D1E93" w:rsidRPr="001D1E67" w:rsidRDefault="006D1E93" w:rsidP="006D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7FB60D" w14:textId="19BE7207" w:rsidR="006D1E93" w:rsidRPr="001D1E67" w:rsidRDefault="006D1E93" w:rsidP="006D1E9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0177C1E1" w14:textId="3A29483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Знати Дизайн епідеміологічних досліджень (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когортні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, випадок-контроль та крос-секційні дослідження). Епідеміологічний контроль та нагляд (типи, характеристика механізми). </w:t>
            </w:r>
          </w:p>
        </w:tc>
        <w:tc>
          <w:tcPr>
            <w:tcW w:w="2127" w:type="dxa"/>
          </w:tcPr>
          <w:p w14:paraId="6A558E35" w14:textId="5CC43F5E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Студент повинен представити базові принципи епідеміологічних досліджень (Причинно-наслідкові зв’язки, доказова медицина та навести приклади в тваринництві. </w:t>
            </w:r>
          </w:p>
        </w:tc>
        <w:tc>
          <w:tcPr>
            <w:tcW w:w="1529" w:type="dxa"/>
            <w:gridSpan w:val="2"/>
          </w:tcPr>
          <w:p w14:paraId="6F3D6D4E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3DADA57F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3A1E0449" w14:textId="0F51B97A" w:rsidR="006D1E93" w:rsidRPr="001D1E67" w:rsidRDefault="006D1E93" w:rsidP="006D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Біометрія, 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Епідеміологічні показники та колекція епідеміологічних даних</w:t>
            </w:r>
          </w:p>
        </w:tc>
        <w:tc>
          <w:tcPr>
            <w:tcW w:w="1384" w:type="dxa"/>
          </w:tcPr>
          <w:p w14:paraId="2C973F1C" w14:textId="4D45452D" w:rsidR="006D1E93" w:rsidRPr="001D1E67" w:rsidRDefault="006D1E93" w:rsidP="006D1E9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757BB09A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Знати принципи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біостатистики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та біометрії даних. Принципи відбору проб, методів, тестів. Діагностичні маркери,  Принципи відбору достовірних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патернів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, методи оцінки, калькуляції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інтрепретації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.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Діагностичні маркери</w:t>
            </w:r>
          </w:p>
          <w:p w14:paraId="415CDFCD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32FB4F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Студент повинен застосувати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Превалентність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інцидентність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, смертність, летальність, виживаність. Критерії вимірювання (точність, надійність, достовірність, валідність) та інтерпретація. </w:t>
            </w:r>
          </w:p>
          <w:p w14:paraId="23029204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34A8756D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60491D10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660B8069" w14:textId="275A6B44" w:rsidR="006D1E93" w:rsidRPr="001D1E67" w:rsidRDefault="006D1E93" w:rsidP="006D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Суть  епідемічного процесу та класифікація </w:t>
            </w:r>
            <w:proofErr w:type="spellStart"/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хвороб</w:t>
            </w:r>
            <w:proofErr w:type="spellEnd"/>
          </w:p>
        </w:tc>
        <w:tc>
          <w:tcPr>
            <w:tcW w:w="1384" w:type="dxa"/>
          </w:tcPr>
          <w:p w14:paraId="624A3839" w14:textId="52D1D2FD" w:rsidR="006D1E93" w:rsidRPr="001D1E67" w:rsidRDefault="006D1E93" w:rsidP="006D1E9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6981218" w14:textId="77777777" w:rsidR="006D1E93" w:rsidRPr="001D1E67" w:rsidRDefault="006D1E93" w:rsidP="006D1E93">
            <w:pPr>
              <w:ind w:firstLine="28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Розуміти суть </w:t>
            </w:r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епідемічного процесу та його ланок (джерело збудника інфекції, механізм передачі збудника, сприйнятливі тварини).  </w:t>
            </w:r>
          </w:p>
          <w:p w14:paraId="545BDB1E" w14:textId="22FB08EC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Знати принципи класифікації інфекційних </w:t>
            </w:r>
            <w:proofErr w:type="spellStart"/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хвороб</w:t>
            </w:r>
            <w:proofErr w:type="spellEnd"/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3921649" w14:textId="77777777" w:rsidR="006D1E93" w:rsidRPr="001D1E67" w:rsidRDefault="006D1E93" w:rsidP="006D1E93">
            <w:pPr>
              <w:ind w:firstLine="28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Вміти будувати алгоритм розслідування на законах епізоотичного процесу.</w:t>
            </w:r>
          </w:p>
          <w:p w14:paraId="62F1E3C4" w14:textId="666DAC1C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Відрізняти о</w:t>
            </w:r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собливості прояву епізоотії в замкнутому (ізольованому) і незамкнутому (неізольованому) стаді тварин.</w:t>
            </w:r>
          </w:p>
        </w:tc>
        <w:tc>
          <w:tcPr>
            <w:tcW w:w="1529" w:type="dxa"/>
            <w:gridSpan w:val="2"/>
          </w:tcPr>
          <w:p w14:paraId="74BBB62F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1D9D916B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210D714D" w14:textId="750DE055" w:rsidR="006D1E93" w:rsidRPr="001D1E67" w:rsidRDefault="006D1E93" w:rsidP="006D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Ландшафтна 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епідеміологія. Оцінка та управління ризиками поширення зоонозів</w:t>
            </w: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1BC05DB5" w14:textId="306408DA" w:rsidR="006D1E93" w:rsidRPr="001D1E67" w:rsidRDefault="006D1E93" w:rsidP="006D1E9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126" w:type="dxa"/>
          </w:tcPr>
          <w:p w14:paraId="3DD7AE37" w14:textId="08B4634C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Знати що таке ландшафтна 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епізоотологія і географічний розподіл. </w:t>
            </w:r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Епізоотичне та природне вогнище інфекційних </w:t>
            </w:r>
            <w:proofErr w:type="spellStart"/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хвороб</w:t>
            </w:r>
            <w:proofErr w:type="spellEnd"/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. </w:t>
            </w: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Розуміти базові компоненти аналізу ризиків (ідентифікація загрози, оцінка, управління і комунікація ризику).</w:t>
            </w:r>
          </w:p>
        </w:tc>
        <w:tc>
          <w:tcPr>
            <w:tcW w:w="2127" w:type="dxa"/>
          </w:tcPr>
          <w:p w14:paraId="0B5214C2" w14:textId="77777777" w:rsidR="006D1E93" w:rsidRPr="001D1E67" w:rsidRDefault="006D1E93" w:rsidP="006D1E93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Характеризувати фактори </w:t>
            </w:r>
          </w:p>
          <w:p w14:paraId="66F30827" w14:textId="77777777" w:rsidR="006D1E93" w:rsidRPr="001D1E67" w:rsidRDefault="006D1E93" w:rsidP="006D1E93">
            <w:pPr>
              <w:ind w:firstLine="28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кліматичних, метеорологічних, географічних та інших природних умов.</w:t>
            </w: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Провести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симулійційні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вправи оцінки ризику поширення сказу у а) домашніх та б) диких тварин на рівні країни, континенту.</w:t>
            </w:r>
          </w:p>
          <w:p w14:paraId="16433612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2B7E0BF5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311A9BCD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26E7A4CE" w14:textId="77777777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5. Геоінформаційний аналіз та прогнозування поширення зоонозів.</w:t>
            </w:r>
          </w:p>
          <w:p w14:paraId="3337923C" w14:textId="77777777" w:rsidR="006D1E93" w:rsidRPr="001D1E67" w:rsidRDefault="006D1E93" w:rsidP="006D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5F1D858" w14:textId="1FAA3EBE" w:rsidR="006D1E93" w:rsidRPr="001D1E67" w:rsidRDefault="006D1E93" w:rsidP="006D1E9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6135B293" w14:textId="77777777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Розуміти </w:t>
            </w:r>
            <w:proofErr w:type="spellStart"/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комплекний</w:t>
            </w:r>
            <w:proofErr w:type="spellEnd"/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аналіз епідеміологічних та економічних аспектів зоонозів. Аналіз залучення в епізоотичний </w:t>
            </w:r>
            <w:proofErr w:type="spellStart"/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</w:t>
            </w:r>
            <w:proofErr w:type="spellEnd"/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різних компонентів (збудник, організм, фактори трансмісії) та інтерпретація на основі ГІС. Проведення просторово-часового та просторово-кластерного аналізу на різних рівнях.</w:t>
            </w:r>
          </w:p>
          <w:p w14:paraId="5A058BEC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D5C290" w14:textId="64108A0A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Проводити ретроспективний та просторово-кластерний аналіз та моделювання поширення зоонозів.</w:t>
            </w:r>
          </w:p>
        </w:tc>
        <w:tc>
          <w:tcPr>
            <w:tcW w:w="1529" w:type="dxa"/>
            <w:gridSpan w:val="2"/>
          </w:tcPr>
          <w:p w14:paraId="2095E262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15FB57C5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540291F7" w14:textId="77777777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 6.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Стратегії і тактики контролю (профілактика, лікування) інфекційних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A93E88" w14:textId="77777777" w:rsidR="006D1E93" w:rsidRPr="001D1E67" w:rsidRDefault="006D1E93" w:rsidP="006D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D08E86" w14:textId="01A694D7" w:rsidR="006D1E93" w:rsidRPr="001D1E67" w:rsidRDefault="006D1E93" w:rsidP="006D1E93">
            <w:pPr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15F8571D" w14:textId="6EA8A2FE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Знати алгоритми будування стратегії контролю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</w:p>
        </w:tc>
        <w:tc>
          <w:tcPr>
            <w:tcW w:w="2127" w:type="dxa"/>
          </w:tcPr>
          <w:p w14:paraId="7332C25C" w14:textId="5681CE8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провести та оцінити заходи (дезінфекція, дезінсекція і дератизація), визначити їх місце та значення в комплексі протиепізоотичних заходів. Характеристика дезінфекційних засобів та техніка проведення дезінфекції різних об'єктів. Правила безпеки. Способи контролю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ефективності дезінфекції.</w:t>
            </w:r>
          </w:p>
        </w:tc>
        <w:tc>
          <w:tcPr>
            <w:tcW w:w="1529" w:type="dxa"/>
            <w:gridSpan w:val="2"/>
          </w:tcPr>
          <w:p w14:paraId="7D57378F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6276AEAE" w14:textId="77777777" w:rsidTr="007F40B8">
        <w:trPr>
          <w:gridAfter w:val="1"/>
          <w:wAfter w:w="13" w:type="dxa"/>
        </w:trPr>
        <w:tc>
          <w:tcPr>
            <w:tcW w:w="9321" w:type="dxa"/>
            <w:gridSpan w:val="6"/>
          </w:tcPr>
          <w:p w14:paraId="7A9FE08E" w14:textId="4FF4F68D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МОДУЛЬ 2. ЗООНОЗИ та концепція «Єдине Здоров’я»</w:t>
            </w:r>
          </w:p>
        </w:tc>
      </w:tr>
      <w:tr w:rsidR="006D1E93" w:rsidRPr="001D1E67" w14:paraId="167C3EC2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10665E72" w14:textId="77777777" w:rsidR="006D1E93" w:rsidRPr="001D1E67" w:rsidRDefault="006D1E93" w:rsidP="006D1E9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1E6CC" w14:textId="77777777" w:rsidR="006D1E93" w:rsidRPr="001D1E67" w:rsidRDefault="006D1E93" w:rsidP="006D1E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Концепція «Єдине Здоров’я» –</w:t>
            </w:r>
            <w:r w:rsidRPr="001D1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кооперація тріумвірату (</w:t>
            </w: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ВООЗ, ФАО та МЕБ) </w:t>
            </w:r>
            <w:r w:rsidRPr="001D1E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щодо контролю зоонозів</w:t>
            </w:r>
          </w:p>
          <w:p w14:paraId="6395F4CA" w14:textId="77777777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ADCD73B" w14:textId="75400077" w:rsidR="006D1E93" w:rsidRPr="001D1E67" w:rsidRDefault="006D1E93" w:rsidP="006D1E9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539B0D9" w14:textId="335EC5B3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Знати концепцію «Єдине здоров’я». Розуміти принципи харчової безпеки стосовно  здоров’я людей і тварин. Знати роль «Єдине здоров’я – Єдина медицина» в громадському та міжнародному здоров’я. </w:t>
            </w:r>
          </w:p>
        </w:tc>
        <w:tc>
          <w:tcPr>
            <w:tcW w:w="2127" w:type="dxa"/>
          </w:tcPr>
          <w:p w14:paraId="55D3303A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Представити модель використання концепції.</w:t>
            </w:r>
          </w:p>
          <w:p w14:paraId="21425A70" w14:textId="21EE16DC" w:rsidR="006D1E93" w:rsidRPr="001D1E67" w:rsidRDefault="006D1E93" w:rsidP="006D1E93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Представити завдання, структуру, збір та аналіз даних, моніторинг та оцінку ризиків</w:t>
            </w:r>
          </w:p>
        </w:tc>
        <w:tc>
          <w:tcPr>
            <w:tcW w:w="1529" w:type="dxa"/>
            <w:gridSpan w:val="2"/>
          </w:tcPr>
          <w:p w14:paraId="099439DB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5B72E86B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610F908F" w14:textId="77777777" w:rsidR="006D1E93" w:rsidRPr="001D1E67" w:rsidRDefault="006D1E93" w:rsidP="006D1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9B3F6" w14:textId="77777777" w:rsidR="006D1E93" w:rsidRPr="001D1E67" w:rsidRDefault="006D1E93" w:rsidP="006D1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Обізнаність, реагування та кризове управління на емерджентні ситуації щодо зоонозів.</w:t>
            </w:r>
          </w:p>
          <w:p w14:paraId="69E44CDA" w14:textId="77777777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665454C" w14:textId="33E9C16E" w:rsidR="006D1E93" w:rsidRPr="001D1E67" w:rsidRDefault="006D1E93" w:rsidP="006D1E9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26206959" w14:textId="29AE635E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Знати комплексну підготовленість та реагування спалахам зоонозів на основі національного та міжнародного законодавства, проектів, планів. </w:t>
            </w:r>
          </w:p>
        </w:tc>
        <w:tc>
          <w:tcPr>
            <w:tcW w:w="2127" w:type="dxa"/>
          </w:tcPr>
          <w:p w14:paraId="2226CECA" w14:textId="77777777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Розробити програму контролю зоонозів на основі критичного аналізу технічних аспектів прояву зоонозів.</w:t>
            </w:r>
          </w:p>
          <w:p w14:paraId="4476552C" w14:textId="77777777" w:rsidR="006D1E93" w:rsidRPr="001D1E67" w:rsidRDefault="006D1E93" w:rsidP="006D1E93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0AAE4AA9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3DCD0A86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212C48E1" w14:textId="2B83AC8C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1D1E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9</w:t>
            </w: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.  Транскордонні хвороби тварин: шляхи занесення та попередження поширення</w:t>
            </w:r>
          </w:p>
        </w:tc>
        <w:tc>
          <w:tcPr>
            <w:tcW w:w="1384" w:type="dxa"/>
          </w:tcPr>
          <w:p w14:paraId="3AF4AB91" w14:textId="757F5318" w:rsidR="006D1E93" w:rsidRPr="001D1E67" w:rsidRDefault="006D1E93" w:rsidP="006D1E9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766AC9F" w14:textId="30A3B090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Знати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характеристику транскордонних інфекцій. Методи профілактики і захист території держави від занесення збудників екзотичних інфекційних захворювань.</w:t>
            </w:r>
          </w:p>
        </w:tc>
        <w:tc>
          <w:tcPr>
            <w:tcW w:w="2127" w:type="dxa"/>
          </w:tcPr>
          <w:p w14:paraId="12B94D12" w14:textId="77777777" w:rsidR="006D1E93" w:rsidRPr="001D1E67" w:rsidRDefault="006D1E93" w:rsidP="006D1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 повинен представити шляхи поширення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транскордонних інфекційних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 (на прикладі АЧС. Ящуру, та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8F92C87" w14:textId="69CE6D53" w:rsidR="006D1E93" w:rsidRPr="001D1E67" w:rsidRDefault="006D1E93" w:rsidP="006D1E93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Представити методи профілактики і захист території держави від занесення збудників емерджентних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</w:p>
        </w:tc>
        <w:tc>
          <w:tcPr>
            <w:tcW w:w="1529" w:type="dxa"/>
            <w:gridSpan w:val="2"/>
          </w:tcPr>
          <w:p w14:paraId="2A2DE593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E93" w:rsidRPr="001D1E67" w14:paraId="0C08642E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0843B397" w14:textId="518DA53A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10. Харчов</w:t>
            </w:r>
            <w:r w:rsidR="001D1E67"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 </w:t>
            </w: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зоонози та безпечність продуктів.</w:t>
            </w:r>
          </w:p>
          <w:p w14:paraId="372180CC" w14:textId="77777777" w:rsidR="006D1E93" w:rsidRPr="001D1E67" w:rsidRDefault="006D1E93" w:rsidP="006D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B56EA27" w14:textId="284D4F32" w:rsidR="006D1E93" w:rsidRPr="001D1E67" w:rsidRDefault="006D1E93" w:rsidP="006D1E93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70619E0D" w14:textId="38E3F281" w:rsidR="006D1E93" w:rsidRPr="001D1E67" w:rsidRDefault="006D1E93" w:rsidP="006D1E93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Принципи класифікації на маніфестації харчових зоонозів. Небезпечні фактори продукції тваринництва. Критичні моменти контамінації.</w:t>
            </w:r>
          </w:p>
        </w:tc>
        <w:tc>
          <w:tcPr>
            <w:tcW w:w="2127" w:type="dxa"/>
          </w:tcPr>
          <w:p w14:paraId="1BDB0154" w14:textId="77777777" w:rsidR="006D1E93" w:rsidRPr="001D1E67" w:rsidRDefault="006D1E93" w:rsidP="006D1E93">
            <w:pPr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Способи превенції контамінації продукції. Антимікробна резистентність. Програми відстеження антимікробної резистентності. </w:t>
            </w:r>
          </w:p>
          <w:p w14:paraId="6BF9484A" w14:textId="77777777" w:rsidR="006D1E93" w:rsidRPr="001D1E67" w:rsidRDefault="006D1E93" w:rsidP="006D1E93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55572A8E" w14:textId="77777777" w:rsidR="006D1E93" w:rsidRPr="001D1E67" w:rsidRDefault="006D1E93" w:rsidP="006D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E67" w:rsidRPr="001D1E67" w14:paraId="0CE5C6B0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5383294D" w14:textId="77777777" w:rsidR="001D1E67" w:rsidRPr="001D1E67" w:rsidRDefault="001D1E67" w:rsidP="001D1E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11. Менеджмент популяції тварин</w:t>
            </w:r>
          </w:p>
          <w:p w14:paraId="7BDDCF6E" w14:textId="77777777" w:rsidR="001D1E67" w:rsidRPr="001D1E67" w:rsidRDefault="001D1E67" w:rsidP="001D1E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76BB995" w14:textId="69D45D7D" w:rsidR="001D1E67" w:rsidRPr="001D1E67" w:rsidRDefault="001D1E67" w:rsidP="001D1E67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1313818B" w14:textId="77777777" w:rsidR="001D1E67" w:rsidRPr="001D1E67" w:rsidRDefault="001D1E67" w:rsidP="001D1E67">
            <w:pPr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Знати основи благополуччя тварин. </w:t>
            </w:r>
            <w:r w:rsidRPr="001D1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Законодавство і Директиви щодо благополуччя тварин.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Сигнали корів. </w:t>
            </w:r>
          </w:p>
          <w:p w14:paraId="4ABB3E1A" w14:textId="77777777" w:rsidR="001D1E67" w:rsidRPr="001D1E67" w:rsidRDefault="001D1E67" w:rsidP="001D1E67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4A5566" w14:textId="6E5D7202" w:rsidR="001D1E67" w:rsidRPr="001D1E67" w:rsidRDefault="001D1E67" w:rsidP="001D1E67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Вміти проводити о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цінку благополуччя. Аналіз технологічних протоколів. </w:t>
            </w: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Критичні моменти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технологоії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вирощування ВРХ, птиці і свиней. Критичні моменти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тварин. </w:t>
            </w:r>
          </w:p>
        </w:tc>
        <w:tc>
          <w:tcPr>
            <w:tcW w:w="1529" w:type="dxa"/>
            <w:gridSpan w:val="2"/>
          </w:tcPr>
          <w:p w14:paraId="1ABAD764" w14:textId="77777777" w:rsidR="001D1E67" w:rsidRPr="001D1E67" w:rsidRDefault="001D1E67" w:rsidP="001D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E67" w:rsidRPr="001D1E67" w14:paraId="6873B5AA" w14:textId="77777777" w:rsidTr="00FC4325">
        <w:trPr>
          <w:gridAfter w:val="1"/>
          <w:wAfter w:w="13" w:type="dxa"/>
        </w:trPr>
        <w:tc>
          <w:tcPr>
            <w:tcW w:w="9321" w:type="dxa"/>
            <w:gridSpan w:val="6"/>
          </w:tcPr>
          <w:p w14:paraId="44D6109B" w14:textId="77777777" w:rsidR="001D1E67" w:rsidRPr="001D1E67" w:rsidRDefault="001D1E67" w:rsidP="001D1E67">
            <w:pPr>
              <w:ind w:firstLine="709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Style w:val="21"/>
                <w:rFonts w:eastAsiaTheme="minorHAnsi"/>
                <w:sz w:val="24"/>
                <w:szCs w:val="24"/>
              </w:rPr>
              <w:t>Змістовий модуль 3.</w:t>
            </w:r>
            <w:r w:rsidRPr="001D1E6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Біобезпека</w:t>
            </w:r>
            <w:proofErr w:type="spellEnd"/>
            <w:r w:rsidRPr="001D1E6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1D1E67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біозахист</w:t>
            </w:r>
            <w:proofErr w:type="spellEnd"/>
          </w:p>
          <w:p w14:paraId="24E10B1A" w14:textId="77777777" w:rsidR="001D1E67" w:rsidRPr="001D1E67" w:rsidRDefault="001D1E67" w:rsidP="001D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E67" w:rsidRPr="001D1E67" w14:paraId="20A9E791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27569B9D" w14:textId="0A9A74A8" w:rsidR="001D1E67" w:rsidRPr="001D1E67" w:rsidRDefault="001D1E67" w:rsidP="001D1E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Принципи та компоненти  біобезпеки </w:t>
            </w:r>
          </w:p>
        </w:tc>
        <w:tc>
          <w:tcPr>
            <w:tcW w:w="1384" w:type="dxa"/>
          </w:tcPr>
          <w:p w14:paraId="409CA23D" w14:textId="627A07F4" w:rsidR="001D1E67" w:rsidRPr="001D1E67" w:rsidRDefault="001D1E67" w:rsidP="001D1E67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7E8FFAF2" w14:textId="77777777" w:rsidR="001D1E67" w:rsidRPr="001D1E67" w:rsidRDefault="001D1E67" w:rsidP="001D1E6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Знати </w:t>
            </w: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принципи та компоненти  біобезпеки</w:t>
            </w:r>
          </w:p>
          <w:p w14:paraId="5408CD95" w14:textId="77777777" w:rsidR="001D1E67" w:rsidRPr="001D1E67" w:rsidRDefault="001D1E67" w:rsidP="001D1E67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C3BBA5" w14:textId="749B17E9" w:rsidR="001D1E67" w:rsidRPr="001D1E67" w:rsidRDefault="001D1E67" w:rsidP="001D1E67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 повинен представити базові принципи біобезпеки та навести приклади в тваринництві </w:t>
            </w:r>
          </w:p>
        </w:tc>
        <w:tc>
          <w:tcPr>
            <w:tcW w:w="1529" w:type="dxa"/>
            <w:gridSpan w:val="2"/>
          </w:tcPr>
          <w:p w14:paraId="2002A613" w14:textId="77777777" w:rsidR="001D1E67" w:rsidRPr="001D1E67" w:rsidRDefault="001D1E67" w:rsidP="001D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E67" w:rsidRPr="001D1E67" w14:paraId="06712E85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3C8426C6" w14:textId="7CF14B8A" w:rsidR="001D1E67" w:rsidRPr="001D1E67" w:rsidRDefault="001D1E67" w:rsidP="001D1E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  </w:t>
            </w:r>
            <w:proofErr w:type="spellStart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Біозахист</w:t>
            </w:r>
            <w:proofErr w:type="spellEnd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лабораторії. Засоби </w:t>
            </w:r>
            <w:proofErr w:type="spellStart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біозахисту</w:t>
            </w:r>
            <w:proofErr w:type="spellEnd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оцінка ризику.</w:t>
            </w:r>
          </w:p>
        </w:tc>
        <w:tc>
          <w:tcPr>
            <w:tcW w:w="1384" w:type="dxa"/>
          </w:tcPr>
          <w:p w14:paraId="34D052B9" w14:textId="4FEBDDC0" w:rsidR="001D1E67" w:rsidRPr="001D1E67" w:rsidRDefault="001D1E67" w:rsidP="001D1E67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3702400D" w14:textId="26A6E8E4" w:rsidR="001D1E67" w:rsidRPr="001D1E67" w:rsidRDefault="001D1E67" w:rsidP="001D1E67">
            <w:pPr>
              <w:ind w:firstLine="28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Знати підходи контролю «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Вибросу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патогенів» з лабораторії. Систему персонального захисту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 Знати принципи роботи з біологічними небезпеками в лабораторії. Обізнаність щодо біологічні індивідуального захисту (ЗІЗ), інженерні засоби контролю та реагування на надзвичайні ситуації.</w:t>
            </w:r>
          </w:p>
        </w:tc>
        <w:tc>
          <w:tcPr>
            <w:tcW w:w="2127" w:type="dxa"/>
          </w:tcPr>
          <w:p w14:paraId="6C413A02" w14:textId="77777777" w:rsidR="001D1E67" w:rsidRPr="001D1E67" w:rsidRDefault="001D1E67" w:rsidP="001D1E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Представити комплексну п</w:t>
            </w: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ідготовленість лабораторій та реагування  на емерджентні ситуації (на прикладі області).</w:t>
            </w:r>
          </w:p>
          <w:p w14:paraId="6C5FF914" w14:textId="1D5B4DFF" w:rsidR="001D1E67" w:rsidRPr="001D1E67" w:rsidRDefault="001D1E67" w:rsidP="001D1E67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Провести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оцінку ризиків та основні принципи роботи з управління ризиками, включаючи робочі методи, засоби (на різних рівнях</w:t>
            </w:r>
          </w:p>
        </w:tc>
        <w:tc>
          <w:tcPr>
            <w:tcW w:w="1529" w:type="dxa"/>
            <w:gridSpan w:val="2"/>
          </w:tcPr>
          <w:p w14:paraId="38E3639C" w14:textId="77777777" w:rsidR="001D1E67" w:rsidRPr="001D1E67" w:rsidRDefault="001D1E67" w:rsidP="001D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E67" w:rsidRPr="001D1E67" w14:paraId="10BAA132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25251DB3" w14:textId="68CEDD66" w:rsidR="001D1E67" w:rsidRPr="001D1E67" w:rsidRDefault="001D1E67" w:rsidP="00F255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Біотероризм: національна і глобальна загрози. Управління </w:t>
            </w:r>
            <w:proofErr w:type="spellStart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біоризиками</w:t>
            </w:r>
            <w:proofErr w:type="spellEnd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1BF111FA" w14:textId="631080CC" w:rsidR="001D1E67" w:rsidRPr="001D1E67" w:rsidRDefault="001D1E67" w:rsidP="001D1E6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0A4B7545" w14:textId="0B29FDC9" w:rsidR="001D1E67" w:rsidRPr="001D1E67" w:rsidRDefault="001D1E67" w:rsidP="001D1E67">
            <w:pPr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Знати принципи національної безпеки. Розуміти поняття про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біоризики</w:t>
            </w:r>
            <w:proofErr w:type="spellEnd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біозахист</w:t>
            </w:r>
            <w:proofErr w:type="spellEnd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 та оцінка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біоризику</w:t>
            </w:r>
            <w:proofErr w:type="spellEnd"/>
          </w:p>
        </w:tc>
        <w:tc>
          <w:tcPr>
            <w:tcW w:w="2127" w:type="dxa"/>
          </w:tcPr>
          <w:p w14:paraId="0BDE9C8E" w14:textId="64F9BC2B" w:rsidR="001D1E67" w:rsidRPr="001D1E67" w:rsidRDefault="001D1E67" w:rsidP="001D1E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Представити модель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реагуваття</w:t>
            </w:r>
            <w:proofErr w:type="spellEnd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 щодо застосування біологічної зброї.</w:t>
            </w:r>
          </w:p>
        </w:tc>
        <w:tc>
          <w:tcPr>
            <w:tcW w:w="1529" w:type="dxa"/>
            <w:gridSpan w:val="2"/>
          </w:tcPr>
          <w:p w14:paraId="7628A7CF" w14:textId="77777777" w:rsidR="001D1E67" w:rsidRPr="001D1E67" w:rsidRDefault="001D1E67" w:rsidP="001D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E67" w:rsidRPr="001D1E67" w14:paraId="7382F8C1" w14:textId="77777777" w:rsidTr="009642A7">
        <w:trPr>
          <w:gridAfter w:val="1"/>
          <w:wAfter w:w="13" w:type="dxa"/>
        </w:trPr>
        <w:tc>
          <w:tcPr>
            <w:tcW w:w="2155" w:type="dxa"/>
          </w:tcPr>
          <w:p w14:paraId="5BB4A7A5" w14:textId="77777777" w:rsidR="001D1E67" w:rsidRPr="001D1E67" w:rsidRDefault="001D1E67" w:rsidP="001D1E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Системи біологічної безпеки та </w:t>
            </w:r>
            <w:proofErr w:type="spellStart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>біозахисту</w:t>
            </w:r>
            <w:proofErr w:type="spellEnd"/>
            <w:r w:rsidRPr="001D1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тваринницьких об’єктах.</w:t>
            </w:r>
          </w:p>
          <w:p w14:paraId="0BB6FCD8" w14:textId="77777777" w:rsidR="001D1E67" w:rsidRPr="001D1E67" w:rsidRDefault="001D1E67" w:rsidP="001D1E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060E9FAC" w14:textId="3C903F9B" w:rsidR="001D1E67" w:rsidRPr="001D1E67" w:rsidRDefault="001D1E67" w:rsidP="001D1E6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2/2</w:t>
            </w:r>
          </w:p>
        </w:tc>
        <w:tc>
          <w:tcPr>
            <w:tcW w:w="2126" w:type="dxa"/>
          </w:tcPr>
          <w:p w14:paraId="7A103B9C" w14:textId="04E4EEE9" w:rsidR="001D1E67" w:rsidRPr="001D1E67" w:rsidRDefault="001D1E67" w:rsidP="001D1E67">
            <w:pPr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Знати принципи захисту тварин від інфекційних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хвороб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Систему оцінки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біобезпеки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методом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Делфі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Критичні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точкі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оцінки.</w:t>
            </w:r>
          </w:p>
        </w:tc>
        <w:tc>
          <w:tcPr>
            <w:tcW w:w="2127" w:type="dxa"/>
          </w:tcPr>
          <w:p w14:paraId="5BCBBD5E" w14:textId="5DAE0CB3" w:rsidR="001D1E67" w:rsidRPr="001D1E67" w:rsidRDefault="001D1E67" w:rsidP="001D1E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Представити симуляцію емерджентного випадка на основі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елісітації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розробити </w:t>
            </w:r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рекомендації щодо впровадження заходів </w:t>
            </w:r>
            <w:proofErr w:type="spellStart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біозахисту</w:t>
            </w:r>
            <w:proofErr w:type="spellEnd"/>
            <w:r w:rsidRPr="001D1E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2"/>
          </w:tcPr>
          <w:p w14:paraId="322C95FE" w14:textId="77777777" w:rsidR="001D1E67" w:rsidRPr="001D1E67" w:rsidRDefault="001D1E67" w:rsidP="001D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949" w:rsidRPr="001D1E67" w14:paraId="52518ABB" w14:textId="77777777" w:rsidTr="00DB079A">
        <w:trPr>
          <w:gridAfter w:val="2"/>
          <w:wAfter w:w="38" w:type="dxa"/>
        </w:trPr>
        <w:tc>
          <w:tcPr>
            <w:tcW w:w="7792" w:type="dxa"/>
            <w:gridSpan w:val="4"/>
          </w:tcPr>
          <w:p w14:paraId="02ADBA27" w14:textId="77777777" w:rsidR="00631949" w:rsidRPr="001D1E67" w:rsidRDefault="00631949" w:rsidP="00233F23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9 семестр</w:t>
            </w:r>
          </w:p>
        </w:tc>
        <w:tc>
          <w:tcPr>
            <w:tcW w:w="1504" w:type="dxa"/>
          </w:tcPr>
          <w:p w14:paraId="5DCB10D4" w14:textId="77777777" w:rsidR="00631949" w:rsidRPr="001D1E67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31949" w:rsidRPr="001D1E67" w14:paraId="28694172" w14:textId="77777777" w:rsidTr="00DB079A">
        <w:trPr>
          <w:gridAfter w:val="1"/>
          <w:wAfter w:w="13" w:type="dxa"/>
        </w:trPr>
        <w:tc>
          <w:tcPr>
            <w:tcW w:w="2155" w:type="dxa"/>
          </w:tcPr>
          <w:p w14:paraId="1D440020" w14:textId="43415A5E" w:rsidR="00631949" w:rsidRPr="001D1E67" w:rsidRDefault="00F1212C" w:rsidP="00233F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1D1E67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  <w:tc>
          <w:tcPr>
            <w:tcW w:w="1384" w:type="dxa"/>
          </w:tcPr>
          <w:p w14:paraId="54C59D72" w14:textId="77777777" w:rsidR="00631949" w:rsidRPr="001D1E67" w:rsidRDefault="00631949" w:rsidP="00233F2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605BE" w14:textId="77777777" w:rsidR="00631949" w:rsidRPr="001D1E67" w:rsidRDefault="00631949" w:rsidP="00233F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871001" w14:textId="77777777" w:rsidR="00631949" w:rsidRPr="001D1E67" w:rsidRDefault="00631949" w:rsidP="00233F23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14:paraId="7B7DE93A" w14:textId="77777777" w:rsidR="00631949" w:rsidRPr="001D1E67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</w:tr>
      <w:tr w:rsidR="00631949" w:rsidRPr="001D1E67" w14:paraId="28BBEC7E" w14:textId="77777777" w:rsidTr="00DB079A">
        <w:trPr>
          <w:gridAfter w:val="2"/>
          <w:wAfter w:w="38" w:type="dxa"/>
        </w:trPr>
        <w:tc>
          <w:tcPr>
            <w:tcW w:w="7792" w:type="dxa"/>
            <w:gridSpan w:val="4"/>
          </w:tcPr>
          <w:p w14:paraId="69007120" w14:textId="0A4A89BA" w:rsidR="00631949" w:rsidRPr="001D1E67" w:rsidRDefault="00F1212C" w:rsidP="00233F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631949"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04" w:type="dxa"/>
          </w:tcPr>
          <w:p w14:paraId="5100DA1A" w14:textId="77777777" w:rsidR="00631949" w:rsidRPr="001D1E67" w:rsidRDefault="00631949" w:rsidP="00233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C18B19D" w14:textId="77777777" w:rsidR="00A363CB" w:rsidRPr="001D1E67" w:rsidRDefault="00631949" w:rsidP="00A363CB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E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17ADD7" w14:textId="77777777" w:rsidR="00130933" w:rsidRPr="001D1E67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1D1E67">
        <w:rPr>
          <w:rFonts w:ascii="Times New Roman" w:hAnsi="Times New Roman" w:cs="Times New Roman"/>
          <w:b/>
          <w:color w:val="17365D" w:themeColor="text2" w:themeShade="BF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1D1E67" w14:paraId="48B40EFE" w14:textId="77777777" w:rsidTr="00130933">
        <w:tc>
          <w:tcPr>
            <w:tcW w:w="2660" w:type="dxa"/>
          </w:tcPr>
          <w:p w14:paraId="58750D30" w14:textId="77777777" w:rsidR="00130933" w:rsidRPr="001D1E67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7B56B6E9" w14:textId="77777777" w:rsidR="00130933" w:rsidRPr="001D1E67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1D1E67" w14:paraId="6D502364" w14:textId="77777777" w:rsidTr="00130933">
        <w:tc>
          <w:tcPr>
            <w:tcW w:w="2660" w:type="dxa"/>
          </w:tcPr>
          <w:p w14:paraId="3EAFF3F9" w14:textId="77777777" w:rsidR="00130933" w:rsidRPr="001D1E67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C2E0A5B" w14:textId="77777777" w:rsidR="00130933" w:rsidRPr="001D1E67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1D1E67" w14:paraId="652B6064" w14:textId="77777777" w:rsidTr="00130933">
        <w:tc>
          <w:tcPr>
            <w:tcW w:w="2660" w:type="dxa"/>
          </w:tcPr>
          <w:p w14:paraId="366AA778" w14:textId="77777777" w:rsidR="00130933" w:rsidRPr="001D1E67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65C1201" w14:textId="77777777" w:rsidR="00130933" w:rsidRPr="001D1E67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1D1E67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C1DC6BA" w14:textId="77777777" w:rsidR="00130933" w:rsidRPr="001D1E67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4BD78" w14:textId="77777777" w:rsidR="00130933" w:rsidRPr="001D1E67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1D1E67">
        <w:rPr>
          <w:rFonts w:ascii="Times New Roman" w:hAnsi="Times New Roman" w:cs="Times New Roman"/>
          <w:b/>
          <w:color w:val="17365D" w:themeColor="text2" w:themeShade="BF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1D1E67" w14:paraId="6329D101" w14:textId="77777777" w:rsidTr="00131B33">
        <w:tc>
          <w:tcPr>
            <w:tcW w:w="2376" w:type="dxa"/>
            <w:vMerge w:val="restart"/>
          </w:tcPr>
          <w:p w14:paraId="0B659F41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E67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549B416D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E67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A71D92" w:rsidRPr="001D1E67" w14:paraId="410897A5" w14:textId="77777777" w:rsidTr="00A71D92">
        <w:tc>
          <w:tcPr>
            <w:tcW w:w="2376" w:type="dxa"/>
            <w:vMerge/>
          </w:tcPr>
          <w:p w14:paraId="56440E78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</w:tcPr>
          <w:p w14:paraId="0BEBFC25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E67">
              <w:rPr>
                <w:rFonts w:ascii="Times New Roman" w:hAnsi="Times New Roman" w:cs="Times New Roman"/>
                <w:b/>
              </w:rPr>
              <w:t>е</w:t>
            </w:r>
            <w:r w:rsidR="00A96EF1" w:rsidRPr="001D1E67">
              <w:rPr>
                <w:rFonts w:ascii="Times New Roman" w:hAnsi="Times New Roman" w:cs="Times New Roman"/>
                <w:b/>
              </w:rPr>
              <w:t>к</w:t>
            </w:r>
            <w:r w:rsidRPr="001D1E67">
              <w:rPr>
                <w:rFonts w:ascii="Times New Roman" w:hAnsi="Times New Roman" w:cs="Times New Roman"/>
                <w:b/>
              </w:rPr>
              <w:t>заменів</w:t>
            </w:r>
          </w:p>
        </w:tc>
        <w:tc>
          <w:tcPr>
            <w:tcW w:w="3191" w:type="dxa"/>
          </w:tcPr>
          <w:p w14:paraId="7734D627" w14:textId="30281B69" w:rsidR="00A71D92" w:rsidRPr="001D1E67" w:rsidRDefault="00631949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E67">
              <w:rPr>
                <w:rFonts w:ascii="Times New Roman" w:hAnsi="Times New Roman" w:cs="Times New Roman"/>
                <w:b/>
              </w:rPr>
              <w:t>З</w:t>
            </w:r>
            <w:r w:rsidR="00A71D92" w:rsidRPr="001D1E67">
              <w:rPr>
                <w:rFonts w:ascii="Times New Roman" w:hAnsi="Times New Roman" w:cs="Times New Roman"/>
                <w:b/>
              </w:rPr>
              <w:t>аліків</w:t>
            </w:r>
          </w:p>
        </w:tc>
      </w:tr>
      <w:tr w:rsidR="00A71D92" w:rsidRPr="001D1E67" w14:paraId="00E5AF89" w14:textId="77777777" w:rsidTr="00A71D92">
        <w:tc>
          <w:tcPr>
            <w:tcW w:w="2376" w:type="dxa"/>
          </w:tcPr>
          <w:p w14:paraId="01AE69FD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4004" w:type="dxa"/>
          </w:tcPr>
          <w:p w14:paraId="1B24C89C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6D30B6E7" w14:textId="407887BD" w:rsidR="00A71D92" w:rsidRPr="001D1E67" w:rsidRDefault="00631949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З</w:t>
            </w:r>
            <w:r w:rsidR="00A71D92" w:rsidRPr="001D1E67">
              <w:rPr>
                <w:rFonts w:ascii="Times New Roman" w:hAnsi="Times New Roman" w:cs="Times New Roman"/>
              </w:rPr>
              <w:t>араховано</w:t>
            </w:r>
          </w:p>
        </w:tc>
      </w:tr>
      <w:tr w:rsidR="00A71D92" w:rsidRPr="001D1E67" w14:paraId="716B6565" w14:textId="77777777" w:rsidTr="00A71D92">
        <w:tc>
          <w:tcPr>
            <w:tcW w:w="2376" w:type="dxa"/>
          </w:tcPr>
          <w:p w14:paraId="068BD8BD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4004" w:type="dxa"/>
          </w:tcPr>
          <w:p w14:paraId="3E068674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191" w:type="dxa"/>
            <w:vMerge/>
          </w:tcPr>
          <w:p w14:paraId="1B60F388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1D1E67" w14:paraId="404381F6" w14:textId="77777777" w:rsidTr="00A71D92">
        <w:tc>
          <w:tcPr>
            <w:tcW w:w="2376" w:type="dxa"/>
          </w:tcPr>
          <w:p w14:paraId="401DCE59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4004" w:type="dxa"/>
          </w:tcPr>
          <w:p w14:paraId="52821382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191" w:type="dxa"/>
            <w:vMerge/>
          </w:tcPr>
          <w:p w14:paraId="633340A2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1D1E67" w14:paraId="38D5DDE8" w14:textId="77777777" w:rsidTr="00A71D92">
        <w:tc>
          <w:tcPr>
            <w:tcW w:w="2376" w:type="dxa"/>
          </w:tcPr>
          <w:p w14:paraId="78DD7E8C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4004" w:type="dxa"/>
          </w:tcPr>
          <w:p w14:paraId="644CCC4D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191" w:type="dxa"/>
          </w:tcPr>
          <w:p w14:paraId="71468128" w14:textId="77777777" w:rsidR="00A71D92" w:rsidRPr="001D1E67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1D1E67">
              <w:rPr>
                <w:rFonts w:ascii="Times New Roman" w:hAnsi="Times New Roman" w:cs="Times New Roman"/>
              </w:rPr>
              <w:t>не</w:t>
            </w:r>
            <w:r w:rsidR="00A96EF1" w:rsidRPr="001D1E67">
              <w:rPr>
                <w:rFonts w:ascii="Times New Roman" w:hAnsi="Times New Roman" w:cs="Times New Roman"/>
              </w:rPr>
              <w:t xml:space="preserve"> </w:t>
            </w:r>
            <w:r w:rsidRPr="001D1E67">
              <w:rPr>
                <w:rFonts w:ascii="Times New Roman" w:hAnsi="Times New Roman" w:cs="Times New Roman"/>
              </w:rPr>
              <w:t>зараховано</w:t>
            </w:r>
          </w:p>
        </w:tc>
      </w:tr>
    </w:tbl>
    <w:p w14:paraId="7435DE4F" w14:textId="77777777" w:rsidR="00544D46" w:rsidRPr="001D1E67" w:rsidRDefault="00544D46" w:rsidP="000C2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1D1E67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A5FF0"/>
    <w:multiLevelType w:val="singleLevel"/>
    <w:tmpl w:val="B59EDB6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11209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41491"/>
    <w:rsid w:val="000C2B59"/>
    <w:rsid w:val="000E3594"/>
    <w:rsid w:val="00124433"/>
    <w:rsid w:val="00124AF4"/>
    <w:rsid w:val="00130933"/>
    <w:rsid w:val="00131B33"/>
    <w:rsid w:val="001431F8"/>
    <w:rsid w:val="0015186F"/>
    <w:rsid w:val="00177AEB"/>
    <w:rsid w:val="00187796"/>
    <w:rsid w:val="001D1E67"/>
    <w:rsid w:val="001D393D"/>
    <w:rsid w:val="002002C6"/>
    <w:rsid w:val="0020200E"/>
    <w:rsid w:val="00246136"/>
    <w:rsid w:val="00264390"/>
    <w:rsid w:val="00415E29"/>
    <w:rsid w:val="0044377B"/>
    <w:rsid w:val="00467C0B"/>
    <w:rsid w:val="004B0F7A"/>
    <w:rsid w:val="004B2229"/>
    <w:rsid w:val="00502FAD"/>
    <w:rsid w:val="0051576D"/>
    <w:rsid w:val="00541C95"/>
    <w:rsid w:val="00544D46"/>
    <w:rsid w:val="00581698"/>
    <w:rsid w:val="005C41D3"/>
    <w:rsid w:val="005D323C"/>
    <w:rsid w:val="00631949"/>
    <w:rsid w:val="00654D54"/>
    <w:rsid w:val="006D1E93"/>
    <w:rsid w:val="006E02BB"/>
    <w:rsid w:val="00725A13"/>
    <w:rsid w:val="00744B39"/>
    <w:rsid w:val="007B6CF7"/>
    <w:rsid w:val="00816CA7"/>
    <w:rsid w:val="0082074E"/>
    <w:rsid w:val="00831911"/>
    <w:rsid w:val="00880706"/>
    <w:rsid w:val="008927AA"/>
    <w:rsid w:val="008D7D8B"/>
    <w:rsid w:val="00936435"/>
    <w:rsid w:val="00937E1F"/>
    <w:rsid w:val="0095733F"/>
    <w:rsid w:val="009B3B19"/>
    <w:rsid w:val="009B569C"/>
    <w:rsid w:val="00A363CB"/>
    <w:rsid w:val="00A533ED"/>
    <w:rsid w:val="00A53486"/>
    <w:rsid w:val="00A71D92"/>
    <w:rsid w:val="00A96EF1"/>
    <w:rsid w:val="00B23A24"/>
    <w:rsid w:val="00B86C78"/>
    <w:rsid w:val="00BA7EAA"/>
    <w:rsid w:val="00C2053C"/>
    <w:rsid w:val="00C82415"/>
    <w:rsid w:val="00D26A31"/>
    <w:rsid w:val="00D2711E"/>
    <w:rsid w:val="00D71BA2"/>
    <w:rsid w:val="00DA692A"/>
    <w:rsid w:val="00DB079A"/>
    <w:rsid w:val="00DD7841"/>
    <w:rsid w:val="00E23F77"/>
    <w:rsid w:val="00E35C8A"/>
    <w:rsid w:val="00E62F69"/>
    <w:rsid w:val="00E940CB"/>
    <w:rsid w:val="00EC07A1"/>
    <w:rsid w:val="00ED3451"/>
    <w:rsid w:val="00ED77A4"/>
    <w:rsid w:val="00F1212C"/>
    <w:rsid w:val="00F255E1"/>
    <w:rsid w:val="00F37892"/>
    <w:rsid w:val="00F8215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0C61"/>
  <w15:docId w15:val="{D60A9DBE-FE8A-46B6-AFA3-1D7679B2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3194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1B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1B33"/>
    <w:rPr>
      <w:color w:val="605E5C"/>
      <w:shd w:val="clear" w:color="auto" w:fill="E1DFDD"/>
    </w:rPr>
  </w:style>
  <w:style w:type="paragraph" w:customStyle="1" w:styleId="Default">
    <w:name w:val="Default"/>
    <w:rsid w:val="00443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41D3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Calibri" w:eastAsia="Calibri" w:hAnsi="Calibri" w:cs="Calibri"/>
    </w:rPr>
  </w:style>
  <w:style w:type="character" w:customStyle="1" w:styleId="tlid-translation">
    <w:name w:val="tlid-translation"/>
    <w:basedOn w:val="a0"/>
    <w:rsid w:val="004B2229"/>
  </w:style>
  <w:style w:type="character" w:customStyle="1" w:styleId="21">
    <w:name w:val="Основной текст (2) + Полужирный"/>
    <w:rsid w:val="004B2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0">
    <w:name w:val="Заголовок 2 Знак"/>
    <w:basedOn w:val="a0"/>
    <w:link w:val="2"/>
    <w:rsid w:val="0063194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zhukovskyi.maksym@gmail.com</cp:lastModifiedBy>
  <cp:revision>2</cp:revision>
  <dcterms:created xsi:type="dcterms:W3CDTF">2022-06-21T12:47:00Z</dcterms:created>
  <dcterms:modified xsi:type="dcterms:W3CDTF">2022-06-21T12:47:00Z</dcterms:modified>
</cp:coreProperties>
</file>