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34E514B5" w:rsidR="00A034F7" w:rsidRPr="00C44B38" w:rsidRDefault="00A034F7" w:rsidP="00C5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56AE5">
              <w:rPr>
                <w:rFonts w:ascii="Times New Roman" w:hAnsi="Times New Roman"/>
                <w:b/>
                <w:sz w:val="24"/>
                <w:szCs w:val="24"/>
              </w:rPr>
              <w:t>Епізоотологія та інфекційні хвороби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4A305D00" w:rsidR="00A034F7" w:rsidRPr="00C44B38" w:rsidRDefault="00A034F7" w:rsidP="004442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44424D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  <w:bookmarkStart w:id="0" w:name="_GoBack"/>
            <w:bookmarkEnd w:id="0"/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40D7777B" w:rsidR="00A034F7" w:rsidRPr="00C44B38" w:rsidRDefault="00A034F7" w:rsidP="00691C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691CF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691CFA" w:rsidRPr="00691CF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гігієна, санітарія і експертиза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6CD28757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- </w:t>
            </w:r>
            <w:r w:rsidR="008622C6">
              <w:rPr>
                <w:rFonts w:ascii="Times New Roman" w:hAnsi="Times New Roman"/>
                <w:b/>
                <w:sz w:val="24"/>
                <w:szCs w:val="24"/>
              </w:rPr>
              <w:t>«Ветеринарна медицина»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00BC3969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- 3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4298E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семестр </w:t>
            </w:r>
            <w:r w:rsidR="0014298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298E">
              <w:rPr>
                <w:rFonts w:ascii="Times New Roman" w:hAnsi="Times New Roman"/>
                <w:b/>
                <w:sz w:val="24"/>
                <w:szCs w:val="24"/>
              </w:rPr>
              <w:t>7, 8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3C2D0C51" w:rsidR="00A034F7" w:rsidRPr="00C44B38" w:rsidRDefault="00A034F7" w:rsidP="001429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14298E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0C9736EF" w:rsidR="00A034F7" w:rsidRPr="0014148D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1CFA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https://elearn.nubip.edu.ua/course/view.php?id=5011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119C8267" w14:textId="77777777" w:rsidR="00FA5641" w:rsidRDefault="00691CFA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</w:t>
      </w:r>
      <w:r w:rsidRPr="00005D96">
        <w:rPr>
          <w:rFonts w:ascii="Times New Roman" w:eastAsia="Times New Roman" w:hAnsi="Times New Roman"/>
          <w:sz w:val="28"/>
          <w:szCs w:val="28"/>
        </w:rPr>
        <w:t xml:space="preserve">є засвоєння студентами теоретичних і методологічних основ інфекційного та епізоотичного процесів, оволодіння методами діагностики інфекційних </w:t>
      </w:r>
      <w:proofErr w:type="spellStart"/>
      <w:r w:rsidRPr="00005D96"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 w:rsidRPr="00005D96">
        <w:rPr>
          <w:rFonts w:ascii="Times New Roman" w:eastAsia="Times New Roman" w:hAnsi="Times New Roman"/>
          <w:sz w:val="28"/>
          <w:szCs w:val="28"/>
        </w:rPr>
        <w:t xml:space="preserve"> бактеріальної, вірусної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мікозної</w:t>
      </w:r>
      <w:proofErr w:type="spellEnd"/>
      <w:r w:rsidRPr="00005D96">
        <w:rPr>
          <w:rFonts w:ascii="Times New Roman" w:eastAsia="Times New Roman" w:hAnsi="Times New Roman"/>
          <w:sz w:val="28"/>
          <w:szCs w:val="28"/>
        </w:rPr>
        <w:t xml:space="preserve"> природи, навичками науково-обґрунтованого планування, </w:t>
      </w:r>
      <w:r>
        <w:rPr>
          <w:rFonts w:ascii="Times New Roman" w:eastAsia="Times New Roman" w:hAnsi="Times New Roman"/>
          <w:sz w:val="28"/>
          <w:szCs w:val="28"/>
        </w:rPr>
        <w:t xml:space="preserve">прогнозування епізоотичної ситуації, </w:t>
      </w:r>
      <w:r w:rsidRPr="00005D96">
        <w:rPr>
          <w:rFonts w:ascii="Times New Roman" w:eastAsia="Times New Roman" w:hAnsi="Times New Roman"/>
          <w:sz w:val="28"/>
          <w:szCs w:val="28"/>
        </w:rPr>
        <w:t>організації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і проведення протиепізоотичних, гігієнічних, </w:t>
      </w:r>
      <w:r>
        <w:rPr>
          <w:rFonts w:ascii="Times New Roman" w:eastAsia="Times New Roman" w:hAnsi="Times New Roman"/>
          <w:sz w:val="28"/>
          <w:szCs w:val="28"/>
        </w:rPr>
        <w:t>ветеринарно-</w:t>
      </w:r>
      <w:r w:rsidRPr="00274420">
        <w:rPr>
          <w:rFonts w:ascii="Times New Roman" w:eastAsia="Times New Roman" w:hAnsi="Times New Roman"/>
          <w:sz w:val="28"/>
          <w:szCs w:val="28"/>
        </w:rPr>
        <w:t>санітарних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5D96">
        <w:rPr>
          <w:rFonts w:ascii="Times New Roman" w:eastAsia="Times New Roman" w:hAnsi="Times New Roman"/>
          <w:sz w:val="28"/>
          <w:szCs w:val="28"/>
        </w:rPr>
        <w:t>заходів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4420">
        <w:rPr>
          <w:rFonts w:ascii="Times New Roman" w:eastAsia="Times New Roman" w:hAnsi="Times New Roman"/>
          <w:sz w:val="28"/>
          <w:szCs w:val="28"/>
        </w:rPr>
        <w:t>та здійснення ветеринарно-санітарної експертизи продукції тваринництва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B5FFCF2" w14:textId="2DD50111" w:rsidR="00691CFA" w:rsidRDefault="00691CFA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Щільне місце в знаннях інфекційних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5641">
        <w:rPr>
          <w:rFonts w:ascii="Times New Roman" w:eastAsia="Times New Roman" w:hAnsi="Times New Roman"/>
          <w:sz w:val="28"/>
          <w:szCs w:val="28"/>
        </w:rPr>
        <w:t xml:space="preserve">займає модулювання та прогнозування епізоотичної ситуації контагіозних </w:t>
      </w:r>
      <w:proofErr w:type="spellStart"/>
      <w:r w:rsidR="00FA5641"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 w:rsidR="00FA5641"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 w:rsidR="00FA5641"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 w:rsidR="00FA5641"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 w:rsidR="00FA5641"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 w:rsidR="00FA5641">
        <w:rPr>
          <w:rFonts w:ascii="Times New Roman" w:eastAsia="Times New Roman" w:hAnsi="Times New Roman"/>
          <w:sz w:val="28"/>
          <w:szCs w:val="28"/>
        </w:rPr>
        <w:t xml:space="preserve"> імунітету. Прийняття рішень на основі благополуччя тварин, ветеринарного законодавства України та</w:t>
      </w:r>
      <w:r w:rsidR="006D5EB3">
        <w:rPr>
          <w:rFonts w:ascii="Times New Roman" w:eastAsia="Times New Roman" w:hAnsi="Times New Roman"/>
          <w:sz w:val="28"/>
          <w:szCs w:val="28"/>
        </w:rPr>
        <w:t xml:space="preserve"> Міжнародних директив і правил дозволить отримати безпечну і якісну продукцію </w:t>
      </w:r>
      <w:proofErr w:type="spellStart"/>
      <w:r w:rsidR="006D5EB3">
        <w:rPr>
          <w:rFonts w:ascii="Times New Roman" w:eastAsia="Times New Roman" w:hAnsi="Times New Roman"/>
          <w:sz w:val="28"/>
          <w:szCs w:val="28"/>
        </w:rPr>
        <w:t>твраинництва</w:t>
      </w:r>
      <w:proofErr w:type="spellEnd"/>
      <w:r w:rsidR="006D5EB3">
        <w:rPr>
          <w:rFonts w:ascii="Times New Roman" w:eastAsia="Times New Roman" w:hAnsi="Times New Roman"/>
          <w:sz w:val="28"/>
          <w:szCs w:val="28"/>
        </w:rPr>
        <w:t>.</w:t>
      </w:r>
      <w:r w:rsidR="00FA564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4969F35" w14:textId="3BF6AEAE" w:rsidR="00691CFA" w:rsidRPr="002E0906" w:rsidRDefault="00691CFA" w:rsidP="00691CFA">
      <w:pPr>
        <w:tabs>
          <w:tab w:val="left" w:pos="9639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0906">
        <w:rPr>
          <w:rFonts w:ascii="Times New Roman" w:eastAsia="Times New Roman" w:hAnsi="Times New Roman"/>
          <w:sz w:val="28"/>
          <w:szCs w:val="28"/>
        </w:rPr>
        <w:t xml:space="preserve">Метою </w:t>
      </w:r>
      <w:r w:rsidR="00267A21" w:rsidRPr="002E09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0906">
        <w:rPr>
          <w:rFonts w:ascii="Times New Roman" w:eastAsia="Times New Roman" w:hAnsi="Times New Roman"/>
          <w:sz w:val="28"/>
          <w:szCs w:val="28"/>
        </w:rPr>
        <w:t xml:space="preserve">є засвоєння студентами теоретичних і методологічних основ інфекційного та епізоотичного процесів, закономірностей, які лежать в основі розвитку інфекційних </w:t>
      </w:r>
      <w:proofErr w:type="spellStart"/>
      <w:r w:rsidRPr="002E0906"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 w:rsidRPr="002E0906">
        <w:rPr>
          <w:rFonts w:ascii="Times New Roman" w:eastAsia="Times New Roman" w:hAnsi="Times New Roman"/>
          <w:sz w:val="28"/>
          <w:szCs w:val="28"/>
        </w:rPr>
        <w:t xml:space="preserve">, оволодіння методами діагностики інфекційних </w:t>
      </w:r>
      <w:proofErr w:type="spellStart"/>
      <w:r w:rsidRPr="002E0906"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 w:rsidRPr="002E0906">
        <w:rPr>
          <w:rFonts w:ascii="Times New Roman" w:eastAsia="Times New Roman" w:hAnsi="Times New Roman"/>
          <w:sz w:val="28"/>
          <w:szCs w:val="28"/>
        </w:rPr>
        <w:t xml:space="preserve">, навиками науково-обґрунтованого планування, </w:t>
      </w:r>
      <w:r w:rsidR="006D5EB3" w:rsidRPr="002E0906">
        <w:rPr>
          <w:rFonts w:ascii="Times New Roman" w:eastAsia="Times New Roman" w:hAnsi="Times New Roman"/>
          <w:sz w:val="28"/>
          <w:szCs w:val="28"/>
        </w:rPr>
        <w:t xml:space="preserve">моделювання, прогнозування, </w:t>
      </w:r>
      <w:r w:rsidRPr="002E0906">
        <w:rPr>
          <w:rFonts w:ascii="Times New Roman" w:eastAsia="Times New Roman" w:hAnsi="Times New Roman"/>
          <w:sz w:val="28"/>
          <w:szCs w:val="28"/>
        </w:rPr>
        <w:t>організації і проведення протиепізоотичних заходів.</w:t>
      </w:r>
    </w:p>
    <w:p w14:paraId="35FC1D3C" w14:textId="77777777" w:rsidR="00AE4CA1" w:rsidRPr="00F65794" w:rsidRDefault="00AE4CA1" w:rsidP="00A24A15">
      <w:pPr>
        <w:spacing w:after="0"/>
        <w:ind w:firstLine="720"/>
        <w:jc w:val="both"/>
        <w:rPr>
          <w:rFonts w:eastAsia="Times New Roman" w:cs="Calibri"/>
          <w:color w:val="222222"/>
        </w:rPr>
      </w:pPr>
    </w:p>
    <w:p w14:paraId="0B387137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1250"/>
        <w:gridCol w:w="2478"/>
        <w:gridCol w:w="1658"/>
        <w:gridCol w:w="1412"/>
      </w:tblGrid>
      <w:tr w:rsidR="00CB21F5" w:rsidRPr="00C44B38" w14:paraId="7B8C3EC4" w14:textId="77777777" w:rsidTr="00057DC0">
        <w:tc>
          <w:tcPr>
            <w:tcW w:w="2547" w:type="dxa"/>
            <w:vAlign w:val="center"/>
          </w:tcPr>
          <w:p w14:paraId="553B175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50" w:type="dxa"/>
            <w:vAlign w:val="center"/>
          </w:tcPr>
          <w:p w14:paraId="56FAA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1BF5545D" w:rsidR="00810EE5" w:rsidRDefault="00A034F7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лекції/</w:t>
            </w:r>
          </w:p>
          <w:p w14:paraId="69D78796" w14:textId="291CEA0B" w:rsidR="00A034F7" w:rsidRPr="00C44B38" w:rsidRDefault="00CB21F5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</w:p>
        </w:tc>
        <w:tc>
          <w:tcPr>
            <w:tcW w:w="2478" w:type="dxa"/>
            <w:vAlign w:val="center"/>
          </w:tcPr>
          <w:p w14:paraId="0C79882C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58" w:type="dxa"/>
            <w:vAlign w:val="center"/>
          </w:tcPr>
          <w:p w14:paraId="2D69AB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12" w:type="dxa"/>
            <w:vAlign w:val="center"/>
          </w:tcPr>
          <w:p w14:paraId="49D49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682F5D78" w14:textId="77777777" w:rsidTr="00CB21F5">
        <w:tc>
          <w:tcPr>
            <w:tcW w:w="9345" w:type="dxa"/>
            <w:gridSpan w:val="5"/>
          </w:tcPr>
          <w:p w14:paraId="4B787BB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CB21F5" w:rsidRPr="005038B6" w14:paraId="7931E595" w14:textId="77777777" w:rsidTr="00057DC0">
        <w:tc>
          <w:tcPr>
            <w:tcW w:w="2547" w:type="dxa"/>
          </w:tcPr>
          <w:p w14:paraId="3251A848" w14:textId="26E151A6" w:rsidR="0045672E" w:rsidRPr="001C0EAC" w:rsidRDefault="0045672E" w:rsidP="001C0E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1. </w:t>
            </w:r>
            <w:r w:rsidR="002E0906" w:rsidRPr="001C0EAC">
              <w:rPr>
                <w:rFonts w:ascii="Times New Roman" w:hAnsi="Times New Roman"/>
                <w:sz w:val="24"/>
                <w:szCs w:val="24"/>
              </w:rPr>
              <w:t>Введення в епізоотологію. Предмет і методи епізоотології. Епізоотологічні аспекти вчення про інфекцію.</w:t>
            </w:r>
          </w:p>
        </w:tc>
        <w:tc>
          <w:tcPr>
            <w:tcW w:w="1250" w:type="dxa"/>
          </w:tcPr>
          <w:p w14:paraId="663EFBC3" w14:textId="142BF070" w:rsidR="0045672E" w:rsidRPr="001C0EAC" w:rsidRDefault="0045672E" w:rsidP="00FB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C">
              <w:rPr>
                <w:rFonts w:ascii="Times New Roman" w:hAnsi="Times New Roman"/>
                <w:sz w:val="24"/>
                <w:szCs w:val="24"/>
              </w:rPr>
              <w:t>2/</w:t>
            </w:r>
            <w:r w:rsidR="00FB49E1">
              <w:rPr>
                <w:rFonts w:ascii="Times New Roman" w:hAnsi="Times New Roman"/>
                <w:sz w:val="24"/>
                <w:szCs w:val="24"/>
              </w:rPr>
              <w:t>3/4</w:t>
            </w:r>
          </w:p>
        </w:tc>
        <w:tc>
          <w:tcPr>
            <w:tcW w:w="2478" w:type="dxa"/>
            <w:vMerge w:val="restart"/>
          </w:tcPr>
          <w:p w14:paraId="7A9E9DDA" w14:textId="77777777" w:rsidR="002C4AAA" w:rsidRPr="005038B6" w:rsidRDefault="0045672E" w:rsidP="005038B6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5038B6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="002C4AAA" w:rsidRPr="005038B6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2B1393B3" w14:textId="6CE8BF1A"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-Вчення про е</w:t>
            </w:r>
            <w:r w:rsidRPr="005038B6">
              <w:rPr>
                <w:rFonts w:ascii="Times New Roman" w:hAnsi="Times New Roman"/>
                <w:sz w:val="24"/>
                <w:szCs w:val="24"/>
              </w:rPr>
              <w:t>пізоотичний процес та його рушійні сили.</w:t>
            </w:r>
          </w:p>
          <w:p w14:paraId="2915FC0A" w14:textId="37F84713"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38B6">
              <w:rPr>
                <w:rFonts w:ascii="Times New Roman" w:hAnsi="Times New Roman"/>
                <w:sz w:val="24"/>
                <w:szCs w:val="24"/>
              </w:rPr>
              <w:t>Закономірності розвитку епізоотичного процесу та стадійність епізоотій.</w:t>
            </w:r>
          </w:p>
          <w:p w14:paraId="4B72E672" w14:textId="4ACB7CD8"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38B6">
              <w:rPr>
                <w:rFonts w:ascii="Times New Roman" w:hAnsi="Times New Roman"/>
                <w:sz w:val="24"/>
                <w:szCs w:val="24"/>
              </w:rPr>
              <w:t xml:space="preserve">Методи аналізу епізоотичної ситуації (враховуючи нозологічну структуру захворювань, питому вагу окремої хвороби, широту поширення хвороби, коефіцієнт </w:t>
            </w:r>
            <w:proofErr w:type="spellStart"/>
            <w:r w:rsidRPr="005038B6">
              <w:rPr>
                <w:rFonts w:ascii="Times New Roman" w:hAnsi="Times New Roman"/>
                <w:sz w:val="24"/>
                <w:szCs w:val="24"/>
              </w:rPr>
              <w:t>вогнищевості</w:t>
            </w:r>
            <w:proofErr w:type="spellEnd"/>
            <w:r w:rsidRPr="005038B6">
              <w:rPr>
                <w:rFonts w:ascii="Times New Roman" w:hAnsi="Times New Roman"/>
                <w:sz w:val="24"/>
                <w:szCs w:val="24"/>
              </w:rPr>
              <w:t>, тощо).</w:t>
            </w:r>
          </w:p>
          <w:p w14:paraId="11FF82F3" w14:textId="7B81353E"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38B6">
              <w:rPr>
                <w:rFonts w:ascii="Times New Roman" w:hAnsi="Times New Roman"/>
                <w:sz w:val="24"/>
                <w:szCs w:val="24"/>
              </w:rPr>
              <w:t>Принципи протиепізоотичної роботи;</w:t>
            </w:r>
          </w:p>
          <w:p w14:paraId="124F6E76" w14:textId="26E4965E"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38B6">
              <w:rPr>
                <w:rFonts w:ascii="Times New Roman" w:hAnsi="Times New Roman"/>
                <w:sz w:val="24"/>
                <w:szCs w:val="24"/>
              </w:rPr>
              <w:t>Особливості описової епідеміології, моделювання та прогнозування і застосування їх за різних форм інфекції.</w:t>
            </w:r>
          </w:p>
          <w:p w14:paraId="0C4D519A" w14:textId="2A695DF4"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38B6">
              <w:rPr>
                <w:rFonts w:ascii="Times New Roman" w:hAnsi="Times New Roman"/>
                <w:sz w:val="24"/>
                <w:szCs w:val="24"/>
              </w:rPr>
              <w:t>Вплив зовнішнього середовища, природно - географічних та соціально-економічних факторів на інтенсивність епізоотологічного процесу.</w:t>
            </w:r>
          </w:p>
          <w:p w14:paraId="0D404549" w14:textId="0736A641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>Основи епізоотологічного прогнозування (етапи та завдання прогнозування, основні та додаткові фактори прогностичного фону різних захворювань).</w:t>
            </w:r>
          </w:p>
          <w:p w14:paraId="75AEA7CE" w14:textId="5694B4E6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Місце та значення дезінфекції, дератизації та дезінсекції в комплексі 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lastRenderedPageBreak/>
              <w:t>протиепізоотичних заходів.</w:t>
            </w:r>
          </w:p>
          <w:p w14:paraId="48688312" w14:textId="21ECB89E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Особливості ліквідації емерджентних та транскордонних </w:t>
            </w:r>
            <w:proofErr w:type="spellStart"/>
            <w:r w:rsidR="005038B6" w:rsidRPr="005038B6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="005038B6" w:rsidRPr="005038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791F7B" w14:textId="03B43607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Хвороби тварин які вимагають обов’язкового інформування компетентного органу та нотифікації Міжнародних організацій; </w:t>
            </w:r>
          </w:p>
          <w:p w14:paraId="7DB998A2" w14:textId="33894C7D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Де знайти актуальну інформацію щодо специфічних </w:t>
            </w:r>
            <w:proofErr w:type="spellStart"/>
            <w:r w:rsidR="005038B6" w:rsidRPr="005038B6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="005038B6" w:rsidRPr="005038B6">
              <w:rPr>
                <w:rFonts w:ascii="Times New Roman" w:hAnsi="Times New Roman"/>
                <w:sz w:val="24"/>
                <w:szCs w:val="24"/>
              </w:rPr>
              <w:t>, їх попередження, контролю, включаючи механізми швидкого реагування.</w:t>
            </w:r>
          </w:p>
          <w:p w14:paraId="54216EDE" w14:textId="77777777" w:rsidR="005038B6" w:rsidRPr="005038B6" w:rsidRDefault="005038B6" w:rsidP="005038B6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1A729C5" w14:textId="77777777" w:rsidR="005038B6" w:rsidRPr="005038B6" w:rsidRDefault="005038B6" w:rsidP="005038B6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5038B6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Вміти</w:t>
            </w:r>
            <w:r w:rsidRPr="005038B6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>:</w:t>
            </w:r>
          </w:p>
          <w:p w14:paraId="24FA2C5B" w14:textId="354815C0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>Самостійно провести епізоотологічн</w:t>
            </w:r>
            <w:r w:rsidR="005038B6">
              <w:rPr>
                <w:rFonts w:ascii="Times New Roman" w:hAnsi="Times New Roman"/>
                <w:sz w:val="24"/>
                <w:szCs w:val="24"/>
              </w:rPr>
              <w:t>е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 обстеження господарства, встановити причини захворюваност</w:t>
            </w:r>
            <w:r w:rsidR="005038B6">
              <w:rPr>
                <w:rFonts w:ascii="Times New Roman" w:hAnsi="Times New Roman"/>
                <w:sz w:val="24"/>
                <w:szCs w:val="24"/>
              </w:rPr>
              <w:t>і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 і загибелі тварин. </w:t>
            </w:r>
            <w:proofErr w:type="spellStart"/>
            <w:r w:rsidR="005038B6" w:rsidRPr="005038B6">
              <w:rPr>
                <w:rFonts w:ascii="Times New Roman" w:hAnsi="Times New Roman"/>
                <w:sz w:val="24"/>
                <w:szCs w:val="24"/>
              </w:rPr>
              <w:t>Грамотно</w:t>
            </w:r>
            <w:proofErr w:type="spellEnd"/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 написати акт.</w:t>
            </w:r>
          </w:p>
          <w:p w14:paraId="2C8464F8" w14:textId="29774563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>Розуміти та брати участь відповідним чином в епідеміологічн</w:t>
            </w:r>
            <w:r w:rsidR="005038B6">
              <w:rPr>
                <w:rFonts w:ascii="Times New Roman" w:hAnsi="Times New Roman"/>
                <w:sz w:val="24"/>
                <w:szCs w:val="24"/>
              </w:rPr>
              <w:t>и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>х розслідування</w:t>
            </w:r>
            <w:r w:rsidR="005038B6">
              <w:rPr>
                <w:rFonts w:ascii="Times New Roman" w:hAnsi="Times New Roman"/>
                <w:sz w:val="24"/>
                <w:szCs w:val="24"/>
              </w:rPr>
              <w:t>х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>, включаючи збір та транспортування взятих проб чи зразків.</w:t>
            </w:r>
          </w:p>
          <w:p w14:paraId="6E2243A0" w14:textId="5FADAA40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Організувати і провести дезінфекцію різних об’єктів та дезінфекцію приміщень </w:t>
            </w:r>
            <w:r w:rsidR="005038B6">
              <w:rPr>
                <w:rFonts w:ascii="Times New Roman" w:hAnsi="Times New Roman"/>
                <w:sz w:val="24"/>
                <w:szCs w:val="24"/>
              </w:rPr>
              <w:t>у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 присутності </w:t>
            </w:r>
            <w:r w:rsidR="005038B6">
              <w:rPr>
                <w:rFonts w:ascii="Times New Roman" w:hAnsi="Times New Roman"/>
                <w:sz w:val="24"/>
                <w:szCs w:val="24"/>
              </w:rPr>
              <w:t>т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>варин.</w:t>
            </w:r>
          </w:p>
          <w:p w14:paraId="3389408B" w14:textId="24693770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Запровадити заходи з </w:t>
            </w:r>
            <w:proofErr w:type="spellStart"/>
            <w:r w:rsidR="005038B6" w:rsidRPr="005038B6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038B6" w:rsidRPr="005038B6">
              <w:rPr>
                <w:rFonts w:ascii="Times New Roman" w:hAnsi="Times New Roman"/>
                <w:sz w:val="24"/>
                <w:szCs w:val="24"/>
              </w:rPr>
              <w:t>біозахисту</w:t>
            </w:r>
            <w:proofErr w:type="spellEnd"/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 на підприємстві</w:t>
            </w:r>
          </w:p>
          <w:p w14:paraId="337DF23C" w14:textId="73808386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Провести протиепізоотичну 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lastRenderedPageBreak/>
              <w:t>роботу в господарствах промислового типу.</w:t>
            </w:r>
          </w:p>
          <w:p w14:paraId="01C2A431" w14:textId="2442A298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>Розробити і провести систему оздоровчих заходів в епізоотичному вогнищі, та за заходи боротьби з транскордонними захворюваннями.</w:t>
            </w:r>
          </w:p>
          <w:p w14:paraId="2321AEB7" w14:textId="2B645EE3" w:rsidR="005038B6" w:rsidRPr="005038B6" w:rsidRDefault="00E51753" w:rsidP="005038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38B6" w:rsidRPr="005038B6">
              <w:rPr>
                <w:rFonts w:ascii="Times New Roman" w:hAnsi="Times New Roman"/>
                <w:sz w:val="24"/>
                <w:szCs w:val="24"/>
              </w:rPr>
              <w:t xml:space="preserve">Визначати нозологічну структуру захворювання, питому вагу окремої хвороби, широту поширення хвороби, коефіцієнт </w:t>
            </w:r>
            <w:proofErr w:type="spellStart"/>
            <w:r w:rsidR="005038B6" w:rsidRPr="005038B6">
              <w:rPr>
                <w:rFonts w:ascii="Times New Roman" w:hAnsi="Times New Roman"/>
                <w:sz w:val="24"/>
                <w:szCs w:val="24"/>
              </w:rPr>
              <w:t>вогнищевості</w:t>
            </w:r>
            <w:proofErr w:type="spellEnd"/>
            <w:r w:rsidR="005038B6" w:rsidRPr="005038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385DD3" w14:textId="4498F0BF" w:rsidR="005038B6" w:rsidRPr="005038B6" w:rsidRDefault="00E51753" w:rsidP="005038B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038B6" w:rsidRPr="005038B6">
              <w:rPr>
                <w:sz w:val="24"/>
                <w:szCs w:val="24"/>
              </w:rPr>
              <w:t xml:space="preserve">Діяти відповідно до регламенту щодо транскордонних </w:t>
            </w:r>
            <w:proofErr w:type="spellStart"/>
            <w:r w:rsidR="005038B6" w:rsidRPr="005038B6">
              <w:rPr>
                <w:sz w:val="24"/>
                <w:szCs w:val="24"/>
              </w:rPr>
              <w:t>хвороб</w:t>
            </w:r>
            <w:proofErr w:type="spellEnd"/>
            <w:r w:rsidR="005038B6" w:rsidRPr="005038B6">
              <w:rPr>
                <w:sz w:val="24"/>
                <w:szCs w:val="24"/>
              </w:rPr>
              <w:t>.</w:t>
            </w:r>
          </w:p>
          <w:p w14:paraId="3374531A" w14:textId="3A58B7C3" w:rsidR="005038B6" w:rsidRPr="005038B6" w:rsidRDefault="00E51753" w:rsidP="005038B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038B6" w:rsidRPr="005038B6">
              <w:rPr>
                <w:sz w:val="24"/>
                <w:szCs w:val="24"/>
              </w:rPr>
              <w:t xml:space="preserve">Застосовувати </w:t>
            </w:r>
            <w:proofErr w:type="spellStart"/>
            <w:r w:rsidR="005038B6" w:rsidRPr="005038B6">
              <w:rPr>
                <w:sz w:val="24"/>
                <w:szCs w:val="24"/>
              </w:rPr>
              <w:t>відслідковуван</w:t>
            </w:r>
            <w:r w:rsidR="005038B6">
              <w:rPr>
                <w:sz w:val="24"/>
                <w:szCs w:val="24"/>
              </w:rPr>
              <w:t>і</w:t>
            </w:r>
            <w:r w:rsidR="005038B6" w:rsidRPr="005038B6">
              <w:rPr>
                <w:sz w:val="24"/>
                <w:szCs w:val="24"/>
              </w:rPr>
              <w:t>сть</w:t>
            </w:r>
            <w:proofErr w:type="spellEnd"/>
            <w:r w:rsidR="005038B6" w:rsidRPr="005038B6">
              <w:rPr>
                <w:sz w:val="24"/>
                <w:szCs w:val="24"/>
              </w:rPr>
              <w:t xml:space="preserve"> та нагляд з боку відповідного ветеринарного органу.  </w:t>
            </w:r>
          </w:p>
          <w:p w14:paraId="10A4D20F" w14:textId="788E8EA6" w:rsidR="005038B6" w:rsidRPr="005038B6" w:rsidRDefault="00E51753" w:rsidP="005038B6">
            <w:pPr>
              <w:pStyle w:val="a8"/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038B6" w:rsidRPr="005038B6">
              <w:rPr>
                <w:sz w:val="24"/>
                <w:szCs w:val="24"/>
              </w:rPr>
              <w:t xml:space="preserve">Розуміти та брати участь у планових та екстрених вакцинаціях, а також у планових програмах планового дослідження, вибраковки та лікування. </w:t>
            </w:r>
          </w:p>
          <w:p w14:paraId="28B106C1" w14:textId="5118B1A5" w:rsidR="0045672E" w:rsidRPr="005038B6" w:rsidRDefault="0045672E" w:rsidP="0050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b/>
                <w:sz w:val="24"/>
                <w:szCs w:val="24"/>
              </w:rPr>
              <w:t>Розрізняти</w:t>
            </w:r>
            <w:r w:rsidR="002C4AAA" w:rsidRPr="005038B6">
              <w:rPr>
                <w:rFonts w:ascii="Times New Roman" w:hAnsi="Times New Roman"/>
                <w:sz w:val="24"/>
                <w:szCs w:val="24"/>
              </w:rPr>
              <w:t xml:space="preserve"> норму і патологію серед бджіл.</w:t>
            </w:r>
          </w:p>
          <w:p w14:paraId="073F921D" w14:textId="0F806869" w:rsidR="00CB21F5" w:rsidRPr="005038B6" w:rsidRDefault="0045672E" w:rsidP="0050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 w:rsidR="00CB21F5" w:rsidRPr="005038B6">
              <w:rPr>
                <w:rFonts w:ascii="Times New Roman" w:hAnsi="Times New Roman"/>
                <w:sz w:val="24"/>
                <w:szCs w:val="24"/>
              </w:rPr>
              <w:t xml:space="preserve"> методи моделювання, прогнозування, </w:t>
            </w:r>
          </w:p>
          <w:p w14:paraId="2A5CEC8A" w14:textId="6BD0A1C6" w:rsidR="0045672E" w:rsidRPr="005038B6" w:rsidRDefault="00CB21F5" w:rsidP="0050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sz w:val="24"/>
                <w:szCs w:val="24"/>
              </w:rPr>
              <w:t xml:space="preserve">заходи з </w:t>
            </w:r>
            <w:proofErr w:type="spellStart"/>
            <w:r w:rsidRPr="005038B6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Pr="005038B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038B6">
              <w:rPr>
                <w:rFonts w:ascii="Times New Roman" w:hAnsi="Times New Roman"/>
                <w:sz w:val="24"/>
                <w:szCs w:val="24"/>
              </w:rPr>
              <w:t>біозахисту</w:t>
            </w:r>
            <w:proofErr w:type="spellEnd"/>
            <w:r w:rsidRPr="00503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8B6">
              <w:rPr>
                <w:rFonts w:ascii="Times New Roman" w:hAnsi="Times New Roman"/>
                <w:sz w:val="24"/>
                <w:szCs w:val="24"/>
              </w:rPr>
              <w:t>в системі протиепізоотичних заходів</w:t>
            </w:r>
          </w:p>
          <w:p w14:paraId="5CE42F72" w14:textId="230734B2" w:rsidR="0045672E" w:rsidRPr="005038B6" w:rsidRDefault="0045672E" w:rsidP="0050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="00CB21F5" w:rsidRPr="005038B6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у </w:t>
            </w:r>
            <w:r w:rsidR="00CB21F5" w:rsidRPr="005038B6">
              <w:rPr>
                <w:rFonts w:ascii="Times New Roman" w:hAnsi="Times New Roman"/>
                <w:sz w:val="24"/>
                <w:szCs w:val="24"/>
              </w:rPr>
              <w:lastRenderedPageBreak/>
              <w:t>процесі отримання та нагляду за продуктами бджільництва.</w:t>
            </w:r>
          </w:p>
        </w:tc>
        <w:tc>
          <w:tcPr>
            <w:tcW w:w="1658" w:type="dxa"/>
            <w:vMerge w:val="restart"/>
          </w:tcPr>
          <w:p w14:paraId="157EA502" w14:textId="1F966FA5" w:rsidR="0045672E" w:rsidRPr="005038B6" w:rsidRDefault="0045672E" w:rsidP="001C0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sz w:val="24"/>
                <w:szCs w:val="24"/>
              </w:rPr>
              <w:lastRenderedPageBreak/>
              <w:t>Проведення лабораторної роботи. Співбесіда.</w:t>
            </w:r>
          </w:p>
          <w:p w14:paraId="368CF9D2" w14:textId="3CADB64D" w:rsidR="0045672E" w:rsidRPr="005038B6" w:rsidRDefault="0045672E" w:rsidP="001C0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45672E" w:rsidRPr="005038B6" w:rsidRDefault="0045672E" w:rsidP="001C0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5038B6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5038B6">
              <w:rPr>
                <w:rFonts w:ascii="Times New Roman" w:hAnsi="Times New Roman"/>
                <w:sz w:val="24"/>
                <w:szCs w:val="24"/>
              </w:rPr>
              <w:t>. в</w:t>
            </w:r>
            <w:r w:rsidRPr="005038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8B6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038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45672E" w:rsidRPr="005038B6" w:rsidRDefault="0045672E" w:rsidP="001C0E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C8298EF" w14:textId="4576AA1D" w:rsidR="0045672E" w:rsidRPr="005038B6" w:rsidRDefault="00DE3BE1" w:rsidP="001C0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B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C44B38" w14:paraId="0AFB481D" w14:textId="77777777" w:rsidTr="00057DC0">
        <w:tc>
          <w:tcPr>
            <w:tcW w:w="2547" w:type="dxa"/>
          </w:tcPr>
          <w:p w14:paraId="0A418064" w14:textId="3AE2E85B" w:rsidR="00FB49E1" w:rsidRPr="001C0EAC" w:rsidRDefault="00FB49E1" w:rsidP="00FB49E1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1C0EAC">
              <w:rPr>
                <w:sz w:val="24"/>
                <w:szCs w:val="24"/>
              </w:rPr>
              <w:t xml:space="preserve">Тема 2. Значення макроорганізму в розвитку та прояві інфекційного процесу. Неспецифічна (природна) резистентність і специфічний імунітет. </w:t>
            </w:r>
            <w:proofErr w:type="spellStart"/>
            <w:r w:rsidRPr="001C0EAC">
              <w:rPr>
                <w:sz w:val="24"/>
                <w:szCs w:val="24"/>
              </w:rPr>
              <w:t>Імунодефіцити</w:t>
            </w:r>
            <w:proofErr w:type="spellEnd"/>
            <w:r w:rsidRPr="001C0EAC">
              <w:rPr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14:paraId="0DE7282A" w14:textId="209F270D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77FC90B2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F47FAC5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76C2603" w14:textId="01D5B940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C44B38" w14:paraId="648D2C70" w14:textId="77777777" w:rsidTr="00057DC0">
        <w:tc>
          <w:tcPr>
            <w:tcW w:w="2547" w:type="dxa"/>
          </w:tcPr>
          <w:p w14:paraId="650A404C" w14:textId="6D5EA0AF" w:rsidR="00FB49E1" w:rsidRPr="001C0EAC" w:rsidRDefault="00FB49E1" w:rsidP="00FB49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sz w:val="24"/>
                <w:szCs w:val="24"/>
              </w:rPr>
              <w:t xml:space="preserve">Тема 3. Суть епізоотичного процесу. Епізоотичний ланцюг і рушійні сили епізоотичного процесу. Механізм, фактори та шляхи передачі збудників інфекційних </w:t>
            </w:r>
            <w:proofErr w:type="spellStart"/>
            <w:r w:rsidRPr="001C0EAC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1C0EAC">
              <w:rPr>
                <w:rFonts w:ascii="Times New Roman" w:hAnsi="Times New Roman"/>
                <w:sz w:val="24"/>
                <w:szCs w:val="24"/>
              </w:rPr>
              <w:t>. Сезонність, періодичність, фактори впливу на прояв епізоотій.</w:t>
            </w:r>
          </w:p>
        </w:tc>
        <w:tc>
          <w:tcPr>
            <w:tcW w:w="1250" w:type="dxa"/>
          </w:tcPr>
          <w:p w14:paraId="5551938D" w14:textId="56BC2A4B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3596704D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75EF8E9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17FF2AA" w14:textId="04DCDA83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C44B38" w14:paraId="10301798" w14:textId="77777777" w:rsidTr="00057DC0">
        <w:tc>
          <w:tcPr>
            <w:tcW w:w="2547" w:type="dxa"/>
          </w:tcPr>
          <w:p w14:paraId="44452585" w14:textId="4978E8D9" w:rsidR="00FB49E1" w:rsidRPr="001C0EAC" w:rsidRDefault="00FB49E1" w:rsidP="00FB49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sz w:val="24"/>
                <w:szCs w:val="24"/>
              </w:rPr>
              <w:t xml:space="preserve">Тема 4. Значення схильності тварин до захворювань в епізоотичному процесі. Форми прояву, динаміка, стадійність епізоотій. Поняття про епізоотичне вогнище (епізоотичне, природне), неблагополучний пункт та загрозливу зону. Види епізоотичних вогнищ. Поняття про </w:t>
            </w:r>
            <w:proofErr w:type="spellStart"/>
            <w:r w:rsidRPr="001C0EAC">
              <w:rPr>
                <w:rFonts w:ascii="Times New Roman" w:hAnsi="Times New Roman"/>
                <w:sz w:val="24"/>
                <w:szCs w:val="24"/>
              </w:rPr>
              <w:t>краєву</w:t>
            </w:r>
            <w:proofErr w:type="spellEnd"/>
            <w:r w:rsidRPr="001C0EAC">
              <w:rPr>
                <w:rFonts w:ascii="Times New Roman" w:hAnsi="Times New Roman"/>
                <w:sz w:val="24"/>
                <w:szCs w:val="24"/>
              </w:rPr>
              <w:t xml:space="preserve"> епізоотологію і епізоотологічну географію, їх зв’язок з питанням екології.</w:t>
            </w:r>
          </w:p>
        </w:tc>
        <w:tc>
          <w:tcPr>
            <w:tcW w:w="1250" w:type="dxa"/>
          </w:tcPr>
          <w:p w14:paraId="2BBD2826" w14:textId="652102D0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12BA0290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501101A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D37B5B" w14:textId="47FBDAE1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C44B38" w14:paraId="70EAC54A" w14:textId="77777777" w:rsidTr="00057DC0">
        <w:tc>
          <w:tcPr>
            <w:tcW w:w="2547" w:type="dxa"/>
          </w:tcPr>
          <w:p w14:paraId="299FC2CE" w14:textId="1196BA97" w:rsidR="00FB49E1" w:rsidRPr="001C0EAC" w:rsidRDefault="00FB49E1" w:rsidP="00FB49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sz w:val="24"/>
                <w:szCs w:val="24"/>
              </w:rPr>
              <w:t xml:space="preserve">Тема 5. Номенклатура і класифікація інфекційних </w:t>
            </w:r>
            <w:proofErr w:type="spellStart"/>
            <w:r w:rsidRPr="001C0EAC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1C0EAC">
              <w:rPr>
                <w:rFonts w:ascii="Times New Roman" w:hAnsi="Times New Roman"/>
                <w:sz w:val="24"/>
                <w:szCs w:val="24"/>
              </w:rPr>
              <w:t xml:space="preserve">. Закони і категорії </w:t>
            </w:r>
            <w:r w:rsidRPr="001C0EAC">
              <w:rPr>
                <w:rFonts w:ascii="Times New Roman" w:hAnsi="Times New Roman"/>
                <w:sz w:val="24"/>
                <w:szCs w:val="24"/>
              </w:rPr>
              <w:lastRenderedPageBreak/>
              <w:t>епізоотології. Інтенсивні та екстенсивні показники ступеню напруженості моделювання і прогнозування епізоотичного процесу. Лікувально-профілактичні заходи при інфекційних хворобах тварин.</w:t>
            </w:r>
          </w:p>
        </w:tc>
        <w:tc>
          <w:tcPr>
            <w:tcW w:w="1250" w:type="dxa"/>
          </w:tcPr>
          <w:p w14:paraId="71010F3B" w14:textId="47A1140E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lastRenderedPageBreak/>
              <w:t>2/3/4</w:t>
            </w:r>
          </w:p>
        </w:tc>
        <w:tc>
          <w:tcPr>
            <w:tcW w:w="2478" w:type="dxa"/>
            <w:vMerge/>
          </w:tcPr>
          <w:p w14:paraId="50B245B1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228697F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36410F1" w14:textId="017CFCD6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C44B38" w14:paraId="49BBF85A" w14:textId="77777777" w:rsidTr="00057DC0">
        <w:tc>
          <w:tcPr>
            <w:tcW w:w="2547" w:type="dxa"/>
          </w:tcPr>
          <w:p w14:paraId="74A158AE" w14:textId="00B53C5E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Toc372184563"/>
            <w:r w:rsidRPr="001C0EAC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bookmarkEnd w:id="1"/>
            <w:r w:rsidRPr="001C0EAC">
              <w:rPr>
                <w:rFonts w:ascii="Times New Roman" w:hAnsi="Times New Roman"/>
                <w:sz w:val="24"/>
                <w:szCs w:val="24"/>
              </w:rPr>
              <w:t xml:space="preserve">Загальна і спеціальна профілактика інфекційних </w:t>
            </w:r>
            <w:proofErr w:type="spellStart"/>
            <w:r w:rsidRPr="001C0EAC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1C0EAC">
              <w:rPr>
                <w:rFonts w:ascii="Times New Roman" w:hAnsi="Times New Roman"/>
                <w:sz w:val="24"/>
                <w:szCs w:val="24"/>
              </w:rPr>
              <w:t>. Дезінфекція, дезінсекція і дератизація, їх місце та значення в комплексі протиепізоотичних заходів. Способи контролю ефективності дезінфекції.</w:t>
            </w:r>
          </w:p>
        </w:tc>
        <w:tc>
          <w:tcPr>
            <w:tcW w:w="1250" w:type="dxa"/>
          </w:tcPr>
          <w:p w14:paraId="6CD40E42" w14:textId="3ADE49C1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1E33EE58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94B5CE4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77622" w14:textId="1326B5A5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C44B38" w14:paraId="1BD709C7" w14:textId="77777777" w:rsidTr="00057DC0">
        <w:tc>
          <w:tcPr>
            <w:tcW w:w="2547" w:type="dxa"/>
          </w:tcPr>
          <w:p w14:paraId="7942CD84" w14:textId="312E50DC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proofErr w:type="spellStart"/>
            <w:r w:rsidRPr="001C0EAC">
              <w:rPr>
                <w:rFonts w:ascii="Times New Roman" w:hAnsi="Times New Roman"/>
                <w:sz w:val="24"/>
                <w:szCs w:val="24"/>
              </w:rPr>
              <w:t>Біозахист</w:t>
            </w:r>
            <w:proofErr w:type="spellEnd"/>
            <w:r w:rsidRPr="001C0EAC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C0EAC">
              <w:rPr>
                <w:rFonts w:ascii="Times New Roman" w:hAnsi="Times New Roman"/>
                <w:sz w:val="24"/>
                <w:szCs w:val="24"/>
              </w:rPr>
              <w:t>біобезпека</w:t>
            </w:r>
            <w:proofErr w:type="spellEnd"/>
            <w:r w:rsidRPr="001C0EAC">
              <w:rPr>
                <w:rFonts w:ascii="Times New Roman" w:hAnsi="Times New Roman"/>
                <w:sz w:val="24"/>
                <w:szCs w:val="24"/>
              </w:rPr>
              <w:t>. Способи боротьби з особливо небезпечними транскордонними та емерджентними хворобами.</w:t>
            </w:r>
          </w:p>
        </w:tc>
        <w:tc>
          <w:tcPr>
            <w:tcW w:w="1250" w:type="dxa"/>
          </w:tcPr>
          <w:p w14:paraId="12D33A57" w14:textId="797833C1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4C71D8F9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69D993B" w14:textId="77777777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70C3EEE" w14:textId="2C82B0A5" w:rsidR="00FB49E1" w:rsidRPr="001C0EAC" w:rsidRDefault="00FB49E1" w:rsidP="00FB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78E85910" w14:textId="77777777" w:rsidTr="00057DC0">
        <w:tc>
          <w:tcPr>
            <w:tcW w:w="2547" w:type="dxa"/>
          </w:tcPr>
          <w:p w14:paraId="0BF67636" w14:textId="140C23C5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Сибірка</w:t>
            </w:r>
          </w:p>
        </w:tc>
        <w:tc>
          <w:tcPr>
            <w:tcW w:w="1250" w:type="dxa"/>
          </w:tcPr>
          <w:p w14:paraId="0921AA4C" w14:textId="13667C9C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6B8ECD52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067A6F7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37D4C64" w14:textId="49634A83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1C5CBA37" w14:textId="77777777" w:rsidTr="00057DC0">
        <w:tc>
          <w:tcPr>
            <w:tcW w:w="2547" w:type="dxa"/>
          </w:tcPr>
          <w:p w14:paraId="61903492" w14:textId="608E9559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Сказ</w:t>
            </w:r>
          </w:p>
        </w:tc>
        <w:tc>
          <w:tcPr>
            <w:tcW w:w="1250" w:type="dxa"/>
          </w:tcPr>
          <w:p w14:paraId="743DBBB9" w14:textId="5DC72C22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7F579D9E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F46A883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4BB9C02" w14:textId="012E4EAC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21FCE93D" w14:textId="77777777" w:rsidTr="00057DC0">
        <w:tc>
          <w:tcPr>
            <w:tcW w:w="2547" w:type="dxa"/>
          </w:tcPr>
          <w:p w14:paraId="62524FA6" w14:textId="11F8D1F7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Туберкульоз</w:t>
            </w:r>
          </w:p>
        </w:tc>
        <w:tc>
          <w:tcPr>
            <w:tcW w:w="1250" w:type="dxa"/>
          </w:tcPr>
          <w:p w14:paraId="0AC68367" w14:textId="3CF50EC9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7CABAFB3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1806973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65A51B2" w14:textId="688CD01C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790AE499" w14:textId="77777777" w:rsidTr="00057DC0">
        <w:tc>
          <w:tcPr>
            <w:tcW w:w="2547" w:type="dxa"/>
          </w:tcPr>
          <w:p w14:paraId="1FD90DC0" w14:textId="238C8585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54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Бруцельоз</w:t>
            </w:r>
          </w:p>
        </w:tc>
        <w:tc>
          <w:tcPr>
            <w:tcW w:w="1250" w:type="dxa"/>
          </w:tcPr>
          <w:p w14:paraId="64F150CB" w14:textId="20450738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18B577FB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4C891CF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D8E5977" w14:textId="7D18A1C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7D13E529" w14:textId="77777777" w:rsidTr="00057DC0">
        <w:tc>
          <w:tcPr>
            <w:tcW w:w="2547" w:type="dxa"/>
          </w:tcPr>
          <w:p w14:paraId="34A9DE78" w14:textId="6C5EFCAF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54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Лептоспіроз</w:t>
            </w:r>
          </w:p>
        </w:tc>
        <w:tc>
          <w:tcPr>
            <w:tcW w:w="1250" w:type="dxa"/>
          </w:tcPr>
          <w:p w14:paraId="73C867B9" w14:textId="1332ACCA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6A402502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9D8A0DB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69FD750" w14:textId="35035245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490DC691" w14:textId="77777777" w:rsidTr="00057DC0">
        <w:tc>
          <w:tcPr>
            <w:tcW w:w="2547" w:type="dxa"/>
          </w:tcPr>
          <w:p w14:paraId="49A2550E" w14:textId="492BEA1D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54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 xml:space="preserve">План дії в умовах контролю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траскордонних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на прикладі ящуру.</w:t>
            </w:r>
          </w:p>
        </w:tc>
        <w:tc>
          <w:tcPr>
            <w:tcW w:w="1250" w:type="dxa"/>
          </w:tcPr>
          <w:p w14:paraId="73A5CF5A" w14:textId="1A1B72C3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3B10A4A9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889AFB4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5264ABC" w14:textId="5B77E806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509FFA20" w14:textId="77777777" w:rsidTr="00057DC0">
        <w:tc>
          <w:tcPr>
            <w:tcW w:w="2547" w:type="dxa"/>
          </w:tcPr>
          <w:p w14:paraId="1375D3F8" w14:textId="73010805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54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Хламідіози</w:t>
            </w:r>
            <w:proofErr w:type="spellEnd"/>
          </w:p>
        </w:tc>
        <w:tc>
          <w:tcPr>
            <w:tcW w:w="1250" w:type="dxa"/>
          </w:tcPr>
          <w:p w14:paraId="2A5179DB" w14:textId="2A0E7137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12BC9935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84E4724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E0C1575" w14:textId="220D088C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10624FAE" w14:textId="77777777" w:rsidTr="00057DC0">
        <w:tc>
          <w:tcPr>
            <w:tcW w:w="2547" w:type="dxa"/>
          </w:tcPr>
          <w:p w14:paraId="737D1F0C" w14:textId="617C5CBD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54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Пріонні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хвороби</w:t>
            </w:r>
          </w:p>
        </w:tc>
        <w:tc>
          <w:tcPr>
            <w:tcW w:w="1250" w:type="dxa"/>
          </w:tcPr>
          <w:p w14:paraId="221D1003" w14:textId="071A24AC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C2">
              <w:rPr>
                <w:rFonts w:ascii="Times New Roman" w:hAnsi="Times New Roman"/>
                <w:sz w:val="24"/>
                <w:szCs w:val="24"/>
              </w:rPr>
              <w:t>2/3/4</w:t>
            </w:r>
          </w:p>
        </w:tc>
        <w:tc>
          <w:tcPr>
            <w:tcW w:w="2478" w:type="dxa"/>
            <w:vMerge/>
          </w:tcPr>
          <w:p w14:paraId="4FFC1848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153C7027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AA75485" w14:textId="49A36F09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E3BE1" w:rsidRPr="0013399E" w14:paraId="4695F354" w14:textId="77777777" w:rsidTr="00057DC0">
        <w:tc>
          <w:tcPr>
            <w:tcW w:w="2547" w:type="dxa"/>
          </w:tcPr>
          <w:p w14:paraId="0C3DEBC8" w14:textId="2458005E" w:rsidR="00DE3BE1" w:rsidRPr="00F2454F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250" w:type="dxa"/>
          </w:tcPr>
          <w:p w14:paraId="3E8B0B22" w14:textId="270482E9" w:rsidR="00DE3BE1" w:rsidRPr="001C0EAC" w:rsidRDefault="00216E95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E3BE1">
              <w:rPr>
                <w:rFonts w:ascii="Times New Roman" w:hAnsi="Times New Roman"/>
                <w:sz w:val="24"/>
                <w:szCs w:val="24"/>
              </w:rPr>
              <w:t>/45/60</w:t>
            </w:r>
          </w:p>
        </w:tc>
        <w:tc>
          <w:tcPr>
            <w:tcW w:w="2478" w:type="dxa"/>
            <w:vMerge/>
          </w:tcPr>
          <w:p w14:paraId="7736E905" w14:textId="77777777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10966493" w14:textId="77777777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49D0356" w14:textId="24690EC5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E3BE1" w:rsidRPr="0013399E" w14:paraId="1447DDAC" w14:textId="77777777" w:rsidTr="00057DC0">
        <w:tc>
          <w:tcPr>
            <w:tcW w:w="2547" w:type="dxa"/>
          </w:tcPr>
          <w:p w14:paraId="7D18152E" w14:textId="6FE3AA23" w:rsidR="00DE3BE1" w:rsidRPr="00F2454F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Залік</w:t>
            </w:r>
          </w:p>
        </w:tc>
        <w:tc>
          <w:tcPr>
            <w:tcW w:w="1250" w:type="dxa"/>
          </w:tcPr>
          <w:p w14:paraId="1FF191AE" w14:textId="34638DF2" w:rsidR="00DE3BE1" w:rsidRPr="001C0EAC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vMerge/>
          </w:tcPr>
          <w:p w14:paraId="116E7F61" w14:textId="77777777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719646F" w14:textId="77777777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42ED902" w14:textId="477DCCA6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3BE1" w:rsidRPr="0013399E" w14:paraId="39B57E91" w14:textId="77777777" w:rsidTr="00057DC0">
        <w:tc>
          <w:tcPr>
            <w:tcW w:w="2547" w:type="dxa"/>
          </w:tcPr>
          <w:p w14:paraId="3AD8C385" w14:textId="210FD751" w:rsidR="00DE3BE1" w:rsidRPr="001C0EAC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250" w:type="dxa"/>
          </w:tcPr>
          <w:p w14:paraId="28D195A4" w14:textId="7E9850E0" w:rsidR="00DE3BE1" w:rsidRPr="001C0EAC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478" w:type="dxa"/>
            <w:vMerge/>
          </w:tcPr>
          <w:p w14:paraId="0B6683A2" w14:textId="77777777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6D4832A" w14:textId="77777777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1B8CDA1" w14:textId="7C58CA44" w:rsidR="00DE3BE1" w:rsidRPr="0013399E" w:rsidRDefault="00DE3BE1" w:rsidP="00DE3B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E95" w:rsidRPr="0013399E" w14:paraId="2122C9B3" w14:textId="77777777" w:rsidTr="00057DC0">
        <w:tc>
          <w:tcPr>
            <w:tcW w:w="2547" w:type="dxa"/>
          </w:tcPr>
          <w:p w14:paraId="14652E8B" w14:textId="4D082216" w:rsidR="00216E95" w:rsidRPr="001C0EAC" w:rsidRDefault="00216E95" w:rsidP="00216E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B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Африканська чума свиней</w:t>
            </w:r>
          </w:p>
        </w:tc>
        <w:tc>
          <w:tcPr>
            <w:tcW w:w="1250" w:type="dxa"/>
          </w:tcPr>
          <w:p w14:paraId="08B74F95" w14:textId="6B8F7D58" w:rsidR="00216E95" w:rsidRPr="001C0EAC" w:rsidRDefault="00FB49E1" w:rsidP="00216E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7B74CCBC" w14:textId="77777777" w:rsidR="00216E95" w:rsidRPr="0013399E" w:rsidRDefault="00216E95" w:rsidP="00216E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ADF3EAF" w14:textId="77777777" w:rsidR="00216E95" w:rsidRPr="0013399E" w:rsidRDefault="00216E95" w:rsidP="00216E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174991C" w14:textId="7EE63C1B" w:rsidR="00216E95" w:rsidRPr="0013399E" w:rsidRDefault="00216E95" w:rsidP="00216E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621D919E" w14:textId="77777777" w:rsidTr="00057DC0">
        <w:tc>
          <w:tcPr>
            <w:tcW w:w="2547" w:type="dxa"/>
          </w:tcPr>
          <w:p w14:paraId="2F219300" w14:textId="5BEE7351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B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Вірусний трансмісивний гастроентерит свиней. (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Коронавірусні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інфекції свиней) Епідемічна діарея.</w:t>
            </w:r>
          </w:p>
        </w:tc>
        <w:tc>
          <w:tcPr>
            <w:tcW w:w="1250" w:type="dxa"/>
          </w:tcPr>
          <w:p w14:paraId="36112F75" w14:textId="258B9DFB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4C5667C8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9D83A0D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737C8C1" w14:textId="619CD71C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49D7B4D3" w14:textId="77777777" w:rsidTr="00057DC0">
        <w:tc>
          <w:tcPr>
            <w:tcW w:w="2547" w:type="dxa"/>
          </w:tcPr>
          <w:p w14:paraId="125151A3" w14:textId="7472AB51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B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 xml:space="preserve">Респіраторно-репродуктивний синдром свиней. </w:t>
            </w:r>
          </w:p>
        </w:tc>
        <w:tc>
          <w:tcPr>
            <w:tcW w:w="1250" w:type="dxa"/>
          </w:tcPr>
          <w:p w14:paraId="54B585E6" w14:textId="78385FF3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52DE9E6C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1707538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24DB2F9" w14:textId="58F53E63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1221E9D3" w14:textId="77777777" w:rsidTr="00057DC0">
        <w:tc>
          <w:tcPr>
            <w:tcW w:w="2547" w:type="dxa"/>
          </w:tcPr>
          <w:p w14:paraId="67ADACEB" w14:textId="5DF82161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BAD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Цирковірусна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інфекція свиней</w:t>
            </w:r>
            <w:r w:rsidRPr="009A7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</w:tcPr>
          <w:p w14:paraId="0CCFAD82" w14:textId="25C5EF34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16400A8D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1E19126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58A350C" w14:textId="53674769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21566205" w14:textId="77777777" w:rsidTr="00057DC0">
        <w:tc>
          <w:tcPr>
            <w:tcW w:w="2547" w:type="dxa"/>
          </w:tcPr>
          <w:p w14:paraId="4197275B" w14:textId="701A9953" w:rsidR="00FB49E1" w:rsidRPr="009A7BAD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Інфекційний бронхіт. Інфекційний ларинготрахеїт.</w:t>
            </w:r>
          </w:p>
        </w:tc>
        <w:tc>
          <w:tcPr>
            <w:tcW w:w="1250" w:type="dxa"/>
          </w:tcPr>
          <w:p w14:paraId="5ECD97B7" w14:textId="35767688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1042272B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4E54E5F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BFC83BA" w14:textId="3C2B731E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1F9851CB" w14:textId="77777777" w:rsidTr="00057DC0">
        <w:tc>
          <w:tcPr>
            <w:tcW w:w="2547" w:type="dxa"/>
          </w:tcPr>
          <w:p w14:paraId="609355CB" w14:textId="1355DB11" w:rsidR="00FB49E1" w:rsidRPr="009A7BAD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Н'юкаслська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хвороба. Концепція «системи раннього виявлення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14:paraId="0F4F2683" w14:textId="1CAE14AD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6A853A4B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141A2CC2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B33DC54" w14:textId="69EC15EB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436FBA95" w14:textId="77777777" w:rsidTr="00057DC0">
        <w:tc>
          <w:tcPr>
            <w:tcW w:w="2547" w:type="dxa"/>
          </w:tcPr>
          <w:p w14:paraId="5124DE88" w14:textId="28639336" w:rsidR="00FB49E1" w:rsidRPr="009A7BAD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Грип птахів, коней і свиней</w:t>
            </w:r>
          </w:p>
        </w:tc>
        <w:tc>
          <w:tcPr>
            <w:tcW w:w="1250" w:type="dxa"/>
          </w:tcPr>
          <w:p w14:paraId="0E79FA20" w14:textId="5D5BFF72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787D549F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B243E09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86CDD3A" w14:textId="2111D84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342189D6" w14:textId="77777777" w:rsidTr="00057DC0">
        <w:tc>
          <w:tcPr>
            <w:tcW w:w="2547" w:type="dxa"/>
          </w:tcPr>
          <w:p w14:paraId="256E5BE1" w14:textId="37D40058" w:rsidR="00FB49E1" w:rsidRPr="009A7BAD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 xml:space="preserve">Сап. Інфекційний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енцефаломієліт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коней</w:t>
            </w:r>
          </w:p>
        </w:tc>
        <w:tc>
          <w:tcPr>
            <w:tcW w:w="1250" w:type="dxa"/>
          </w:tcPr>
          <w:p w14:paraId="15C79FD5" w14:textId="2D63A702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264B60BC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4CAC22C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187DC76" w14:textId="44A2D19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0E81F5FD" w14:textId="77777777" w:rsidTr="00057DC0">
        <w:tc>
          <w:tcPr>
            <w:tcW w:w="2547" w:type="dxa"/>
          </w:tcPr>
          <w:p w14:paraId="36381C63" w14:textId="52AFA502" w:rsidR="00FB49E1" w:rsidRPr="009A7BAD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Колібактеріоз молодняку тварин</w:t>
            </w:r>
          </w:p>
        </w:tc>
        <w:tc>
          <w:tcPr>
            <w:tcW w:w="1250" w:type="dxa"/>
          </w:tcPr>
          <w:p w14:paraId="21A5E326" w14:textId="630AD576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7407F2D5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FFBC0E6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8242A92" w14:textId="354F77BB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6A1D0C91" w14:textId="77777777" w:rsidTr="00057DC0">
        <w:tc>
          <w:tcPr>
            <w:tcW w:w="2547" w:type="dxa"/>
          </w:tcPr>
          <w:p w14:paraId="18039C3A" w14:textId="41B53BD9" w:rsidR="00FB49E1" w:rsidRPr="009A7BAD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Сальмонельоз тварин</w:t>
            </w:r>
          </w:p>
        </w:tc>
        <w:tc>
          <w:tcPr>
            <w:tcW w:w="1250" w:type="dxa"/>
          </w:tcPr>
          <w:p w14:paraId="5D8D0FA5" w14:textId="31ABF2A0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079E1E16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7F4F01B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AAC2BE6" w14:textId="44B10DA9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1A9A8131" w14:textId="77777777" w:rsidTr="00057DC0">
        <w:tc>
          <w:tcPr>
            <w:tcW w:w="2547" w:type="dxa"/>
          </w:tcPr>
          <w:p w14:paraId="1B3A4A57" w14:textId="693EAF48" w:rsidR="00FB49E1" w:rsidRPr="009A7BAD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 xml:space="preserve">Міксоматоз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кролів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. Вірусна геморагічна хвороба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кролів</w:t>
            </w:r>
            <w:proofErr w:type="spellEnd"/>
          </w:p>
        </w:tc>
        <w:tc>
          <w:tcPr>
            <w:tcW w:w="1250" w:type="dxa"/>
          </w:tcPr>
          <w:p w14:paraId="26429C50" w14:textId="2C87A70A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64735F15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913A769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20A2782" w14:textId="5765E63C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0D91B61C" w14:textId="77777777" w:rsidTr="00057DC0">
        <w:tc>
          <w:tcPr>
            <w:tcW w:w="2547" w:type="dxa"/>
          </w:tcPr>
          <w:p w14:paraId="08AB42B1" w14:textId="059B1CDF" w:rsidR="00FB49E1" w:rsidRPr="009A7BAD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 xml:space="preserve">Чума м’ясоїдних.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Коронавірус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котів та собак</w:t>
            </w:r>
          </w:p>
        </w:tc>
        <w:tc>
          <w:tcPr>
            <w:tcW w:w="1250" w:type="dxa"/>
          </w:tcPr>
          <w:p w14:paraId="2D2A40F7" w14:textId="6B1FE5F9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490B1434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912EBE0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5EFDA2C" w14:textId="7B3E5D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6C287956" w14:textId="77777777" w:rsidTr="00057DC0">
        <w:tc>
          <w:tcPr>
            <w:tcW w:w="2547" w:type="dxa"/>
          </w:tcPr>
          <w:p w14:paraId="54D4F23F" w14:textId="21CDB927" w:rsidR="00FB49E1" w:rsidRPr="00C31BB8" w:rsidRDefault="00FB49E1" w:rsidP="00A21B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 xml:space="preserve">Основні інфекційні хвороби риб, їх профілактика та заходи боротьби. Ознайомлення з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системою протиепізоотичних заходів </w:t>
            </w:r>
            <w:r w:rsidR="00A21B8A">
              <w:rPr>
                <w:rFonts w:ascii="Times New Roman" w:hAnsi="Times New Roman"/>
                <w:sz w:val="24"/>
                <w:szCs w:val="24"/>
              </w:rPr>
              <w:t>у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 xml:space="preserve"> риб</w:t>
            </w:r>
            <w:r w:rsidR="00A21B8A">
              <w:rPr>
                <w:rFonts w:ascii="Times New Roman" w:hAnsi="Times New Roman"/>
                <w:sz w:val="24"/>
                <w:szCs w:val="24"/>
              </w:rPr>
              <w:t xml:space="preserve">ному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>господарстві</w:t>
            </w:r>
          </w:p>
        </w:tc>
        <w:tc>
          <w:tcPr>
            <w:tcW w:w="1250" w:type="dxa"/>
          </w:tcPr>
          <w:p w14:paraId="085E2DFC" w14:textId="41C67C44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lastRenderedPageBreak/>
              <w:t>2/4/2</w:t>
            </w:r>
          </w:p>
        </w:tc>
        <w:tc>
          <w:tcPr>
            <w:tcW w:w="2478" w:type="dxa"/>
            <w:vMerge/>
          </w:tcPr>
          <w:p w14:paraId="2016E0E2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8BE0AC1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DAF60FD" w14:textId="22949DFC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577B3B7B" w14:textId="77777777" w:rsidTr="00057DC0">
        <w:tc>
          <w:tcPr>
            <w:tcW w:w="2547" w:type="dxa"/>
          </w:tcPr>
          <w:p w14:paraId="52667D44" w14:textId="0C4ED8E9" w:rsidR="00FB49E1" w:rsidRPr="00C31BB8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13399E">
              <w:rPr>
                <w:rFonts w:ascii="Times New Roman" w:hAnsi="Times New Roman"/>
                <w:sz w:val="24"/>
                <w:szCs w:val="24"/>
              </w:rPr>
              <w:t xml:space="preserve">Ветеринарно-профілактичні заходи з </w:t>
            </w:r>
            <w:proofErr w:type="spellStart"/>
            <w:r w:rsidRPr="0013399E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13399E">
              <w:rPr>
                <w:rFonts w:ascii="Times New Roman" w:hAnsi="Times New Roman"/>
                <w:sz w:val="24"/>
                <w:szCs w:val="24"/>
              </w:rPr>
              <w:t xml:space="preserve"> бджіл на пасіках</w:t>
            </w:r>
          </w:p>
        </w:tc>
        <w:tc>
          <w:tcPr>
            <w:tcW w:w="1250" w:type="dxa"/>
          </w:tcPr>
          <w:p w14:paraId="40E07138" w14:textId="769A0B73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7D64512C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C8B1167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275F2E" w14:textId="3A7D9AD9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9E1" w:rsidRPr="0013399E" w14:paraId="64D1C02E" w14:textId="77777777" w:rsidTr="00057DC0">
        <w:tc>
          <w:tcPr>
            <w:tcW w:w="2547" w:type="dxa"/>
          </w:tcPr>
          <w:p w14:paraId="0AABDD62" w14:textId="7491A4F6" w:rsidR="00FB49E1" w:rsidRPr="00C31BB8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B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6B6253" w:rsidRPr="00EC7AF5">
              <w:rPr>
                <w:rFonts w:ascii="Times New Roman" w:hAnsi="Times New Roman"/>
                <w:sz w:val="24"/>
                <w:szCs w:val="24"/>
              </w:rPr>
              <w:t>Українські, європейські та міжнародні вимоги щодо безпечності харчових продуктів</w:t>
            </w:r>
            <w:r w:rsidR="006B6253">
              <w:rPr>
                <w:sz w:val="24"/>
              </w:rPr>
              <w:t xml:space="preserve"> за епізоотій</w:t>
            </w:r>
            <w:r w:rsidR="006B6253" w:rsidRPr="00EC7AF5">
              <w:rPr>
                <w:rFonts w:ascii="Times New Roman" w:hAnsi="Times New Roman"/>
                <w:sz w:val="24"/>
                <w:szCs w:val="24"/>
              </w:rPr>
              <w:t xml:space="preserve">. Формування </w:t>
            </w:r>
            <w:r w:rsidR="006B6253">
              <w:rPr>
                <w:sz w:val="24"/>
              </w:rPr>
              <w:t>ветеринарно-</w:t>
            </w:r>
            <w:r w:rsidR="006B6253" w:rsidRPr="00EC7AF5">
              <w:rPr>
                <w:rFonts w:ascii="Times New Roman" w:hAnsi="Times New Roman"/>
                <w:sz w:val="24"/>
                <w:szCs w:val="24"/>
              </w:rPr>
              <w:t xml:space="preserve">санітарної безпеки </w:t>
            </w:r>
            <w:r w:rsidR="006B6253">
              <w:rPr>
                <w:sz w:val="24"/>
              </w:rPr>
              <w:t>за</w:t>
            </w:r>
            <w:r w:rsidR="006B6253" w:rsidRPr="00EC7AF5">
              <w:rPr>
                <w:rFonts w:ascii="Times New Roman" w:hAnsi="Times New Roman"/>
                <w:sz w:val="24"/>
                <w:szCs w:val="24"/>
              </w:rPr>
              <w:t xml:space="preserve"> міжнародної торгівлі.</w:t>
            </w:r>
          </w:p>
        </w:tc>
        <w:tc>
          <w:tcPr>
            <w:tcW w:w="1250" w:type="dxa"/>
          </w:tcPr>
          <w:p w14:paraId="7E58C207" w14:textId="0EB63750" w:rsidR="00FB49E1" w:rsidRPr="001C0EAC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F4B">
              <w:rPr>
                <w:rFonts w:ascii="Times New Roman" w:hAnsi="Times New Roman"/>
                <w:sz w:val="24"/>
                <w:szCs w:val="24"/>
              </w:rPr>
              <w:t>2/4/2</w:t>
            </w:r>
          </w:p>
        </w:tc>
        <w:tc>
          <w:tcPr>
            <w:tcW w:w="2478" w:type="dxa"/>
            <w:vMerge/>
          </w:tcPr>
          <w:p w14:paraId="2E18870C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E019E9D" w14:textId="77777777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F2EE346" w14:textId="7FAA498D" w:rsidR="00FB49E1" w:rsidRPr="0013399E" w:rsidRDefault="00FB49E1" w:rsidP="00FB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E3BE1" w:rsidRPr="00C44B38" w14:paraId="1AFA7CEB" w14:textId="77777777" w:rsidTr="00057DC0">
        <w:tc>
          <w:tcPr>
            <w:tcW w:w="2547" w:type="dxa"/>
          </w:tcPr>
          <w:p w14:paraId="42326E95" w14:textId="206893BD" w:rsidR="00DE3BE1" w:rsidRPr="001C0EAC" w:rsidRDefault="00DE3BE1" w:rsidP="00DE3B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250" w:type="dxa"/>
          </w:tcPr>
          <w:p w14:paraId="23C9289E" w14:textId="32BE16AE" w:rsidR="00DE3BE1" w:rsidRPr="001C0EAC" w:rsidRDefault="00216E95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30/60/30</w:t>
            </w:r>
          </w:p>
        </w:tc>
        <w:tc>
          <w:tcPr>
            <w:tcW w:w="2478" w:type="dxa"/>
            <w:vMerge/>
          </w:tcPr>
          <w:p w14:paraId="7727EABF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16587D0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F181C17" w14:textId="0CAEA2C5" w:rsidR="00DE3BE1" w:rsidRPr="001C0EAC" w:rsidRDefault="00216E95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DE3BE1" w:rsidRPr="00C44B38" w14:paraId="30654652" w14:textId="77777777" w:rsidTr="00057DC0">
        <w:tc>
          <w:tcPr>
            <w:tcW w:w="2547" w:type="dxa"/>
          </w:tcPr>
          <w:p w14:paraId="2A5AE5ED" w14:textId="72A39AA5" w:rsidR="00DE3BE1" w:rsidRPr="001C0EAC" w:rsidRDefault="00DE3BE1" w:rsidP="00DE3B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50" w:type="dxa"/>
          </w:tcPr>
          <w:p w14:paraId="7C3373E2" w14:textId="0970AB9F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14:paraId="5CF1AD8B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E9BA4DB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4104CF5" w14:textId="4BB992F7" w:rsidR="00DE3BE1" w:rsidRPr="001C0EAC" w:rsidRDefault="00216E95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DE3BE1" w:rsidRPr="00C44B38" w14:paraId="129778E5" w14:textId="77777777" w:rsidTr="00057DC0">
        <w:tc>
          <w:tcPr>
            <w:tcW w:w="2547" w:type="dxa"/>
          </w:tcPr>
          <w:p w14:paraId="16EEA5DF" w14:textId="131121B1" w:rsidR="00DE3BE1" w:rsidRPr="001C0EAC" w:rsidRDefault="00DE3BE1" w:rsidP="00DE3B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250" w:type="dxa"/>
          </w:tcPr>
          <w:p w14:paraId="5C5E260A" w14:textId="56A3E8AA" w:rsidR="00DE3BE1" w:rsidRPr="001C0EAC" w:rsidRDefault="00216E95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2478" w:type="dxa"/>
            <w:vMerge/>
          </w:tcPr>
          <w:p w14:paraId="22E63928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52B801B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DE7E14" w14:textId="303B55CF" w:rsidR="00DE3BE1" w:rsidRPr="001C0EAC" w:rsidRDefault="00216E95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E3BE1" w:rsidRPr="00C44B38" w14:paraId="7CA9A7B7" w14:textId="77777777" w:rsidTr="00CB21F5">
        <w:tc>
          <w:tcPr>
            <w:tcW w:w="7933" w:type="dxa"/>
            <w:gridSpan w:val="4"/>
          </w:tcPr>
          <w:p w14:paraId="5805A26F" w14:textId="2144F054" w:rsidR="00DE3BE1" w:rsidRPr="001C0EAC" w:rsidRDefault="00DE3BE1" w:rsidP="00DE3B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573D5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DE3BE1" w:rsidRPr="00C44B38" w14:paraId="1D940F96" w14:textId="77777777" w:rsidTr="00057DC0">
        <w:tc>
          <w:tcPr>
            <w:tcW w:w="2547" w:type="dxa"/>
          </w:tcPr>
          <w:p w14:paraId="139402B5" w14:textId="6CC47F4F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30388A89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14:paraId="042766C4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69E1B22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A83CE74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DE3BE1" w:rsidRPr="00C44B38" w14:paraId="4474A704" w14:textId="77777777" w:rsidTr="00CB21F5">
        <w:tc>
          <w:tcPr>
            <w:tcW w:w="7933" w:type="dxa"/>
            <w:gridSpan w:val="4"/>
          </w:tcPr>
          <w:p w14:paraId="54269FFE" w14:textId="4954EDC3" w:rsidR="00DE3BE1" w:rsidRPr="001C0EAC" w:rsidRDefault="00DE3BE1" w:rsidP="00DE3B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8D4BD72" w14:textId="77777777" w:rsidR="00DE3BE1" w:rsidRPr="001C0EAC" w:rsidRDefault="00DE3BE1" w:rsidP="00DE3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A380DC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79E82EB0" w14:textId="77777777" w:rsidR="00A034F7" w:rsidRPr="00A71D92" w:rsidRDefault="00A034F7" w:rsidP="00FB6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4C4F"/>
    <w:multiLevelType w:val="hybridMultilevel"/>
    <w:tmpl w:val="6D9E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A06EF"/>
    <w:multiLevelType w:val="hybridMultilevel"/>
    <w:tmpl w:val="848A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57DC0"/>
    <w:rsid w:val="000C2BE6"/>
    <w:rsid w:val="0011205C"/>
    <w:rsid w:val="00130933"/>
    <w:rsid w:val="0013399E"/>
    <w:rsid w:val="0014148D"/>
    <w:rsid w:val="0014298E"/>
    <w:rsid w:val="001431F8"/>
    <w:rsid w:val="0018460C"/>
    <w:rsid w:val="001C0EAC"/>
    <w:rsid w:val="0020200E"/>
    <w:rsid w:val="00211636"/>
    <w:rsid w:val="00216E95"/>
    <w:rsid w:val="002171BC"/>
    <w:rsid w:val="00246136"/>
    <w:rsid w:val="00267A21"/>
    <w:rsid w:val="002C4AAA"/>
    <w:rsid w:val="002E0906"/>
    <w:rsid w:val="00322F45"/>
    <w:rsid w:val="003617EF"/>
    <w:rsid w:val="00375E77"/>
    <w:rsid w:val="003B6079"/>
    <w:rsid w:val="0044424D"/>
    <w:rsid w:val="0045672E"/>
    <w:rsid w:val="004D3E3A"/>
    <w:rsid w:val="005038B6"/>
    <w:rsid w:val="00524461"/>
    <w:rsid w:val="00544D46"/>
    <w:rsid w:val="00581698"/>
    <w:rsid w:val="005D323C"/>
    <w:rsid w:val="005F1878"/>
    <w:rsid w:val="005F43C4"/>
    <w:rsid w:val="00654D54"/>
    <w:rsid w:val="00691CFA"/>
    <w:rsid w:val="006B6253"/>
    <w:rsid w:val="006D5EB3"/>
    <w:rsid w:val="00810EE5"/>
    <w:rsid w:val="008622C6"/>
    <w:rsid w:val="008927AA"/>
    <w:rsid w:val="008D2057"/>
    <w:rsid w:val="009D67D5"/>
    <w:rsid w:val="009E0079"/>
    <w:rsid w:val="00A034F7"/>
    <w:rsid w:val="00A21B8A"/>
    <w:rsid w:val="00A24A15"/>
    <w:rsid w:val="00A71D92"/>
    <w:rsid w:val="00A96EF1"/>
    <w:rsid w:val="00AE4CA1"/>
    <w:rsid w:val="00C44B38"/>
    <w:rsid w:val="00C56AE5"/>
    <w:rsid w:val="00C950A5"/>
    <w:rsid w:val="00CA3641"/>
    <w:rsid w:val="00CB21F5"/>
    <w:rsid w:val="00D55F5F"/>
    <w:rsid w:val="00DD7841"/>
    <w:rsid w:val="00DE3BE1"/>
    <w:rsid w:val="00E51753"/>
    <w:rsid w:val="00EC07A1"/>
    <w:rsid w:val="00ED3451"/>
    <w:rsid w:val="00F82151"/>
    <w:rsid w:val="00F84B9A"/>
    <w:rsid w:val="00FA5641"/>
    <w:rsid w:val="00FB49E1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paragraph" w:styleId="a8">
    <w:name w:val="No Spacing"/>
    <w:uiPriority w:val="1"/>
    <w:qFormat/>
    <w:rsid w:val="002E0906"/>
    <w:rPr>
      <w:rFonts w:ascii="Times New Roman" w:eastAsia="Times New Roman" w:hAnsi="Times New Roman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3</cp:revision>
  <dcterms:created xsi:type="dcterms:W3CDTF">2022-05-17T13:46:00Z</dcterms:created>
  <dcterms:modified xsi:type="dcterms:W3CDTF">2022-05-18T08:08:00Z</dcterms:modified>
</cp:coreProperties>
</file>