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A730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190"/>
      </w:tblGrid>
      <w:tr w:rsidR="001431F8" w:rsidRPr="00A71D92" w14:paraId="48540E2D" w14:textId="77777777" w:rsidTr="00D613FF">
        <w:tc>
          <w:tcPr>
            <w:tcW w:w="2978" w:type="dxa"/>
            <w:vMerge w:val="restart"/>
          </w:tcPr>
          <w:p w14:paraId="67188532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DB5CBBC" wp14:editId="5255D6A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14:paraId="32BAC82D" w14:textId="629A7683" w:rsidR="00EC07A1" w:rsidRPr="006B6515" w:rsidRDefault="00581698" w:rsidP="006B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15">
              <w:rPr>
                <w:rFonts w:ascii="Times New Roman" w:hAnsi="Times New Roman" w:cs="Times New Roman"/>
                <w:b/>
                <w:sz w:val="24"/>
                <w:szCs w:val="24"/>
              </w:rPr>
              <w:t>СИЛАБУС ДИСЦИПЛІНИ</w:t>
            </w:r>
          </w:p>
          <w:p w14:paraId="429E273C" w14:textId="40A4DCEE" w:rsidR="001431F8" w:rsidRPr="00A71D92" w:rsidRDefault="001431F8" w:rsidP="006B6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613FF" w:rsidRPr="006B6515">
              <w:rPr>
                <w:rFonts w:ascii="Times New Roman" w:hAnsi="Times New Roman" w:cs="Times New Roman"/>
                <w:b/>
                <w:sz w:val="24"/>
                <w:szCs w:val="24"/>
              </w:rPr>
              <w:t>ПРЕВЕНТИВНІ ТЕХНОЛОГІЇ ЗАБЕЗПЕЧЕННЯ ЗДОРОВ’Я КОНЕ</w:t>
            </w:r>
            <w:r w:rsidR="00D613FF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649B9998" w14:textId="77777777" w:rsidTr="00D613FF">
        <w:tc>
          <w:tcPr>
            <w:tcW w:w="2978" w:type="dxa"/>
            <w:vMerge/>
          </w:tcPr>
          <w:p w14:paraId="5BB0A4F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22B5A905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1E003" w14:textId="18E912D6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14:paraId="4992B7EF" w14:textId="77777777" w:rsidTr="00D613FF">
        <w:tc>
          <w:tcPr>
            <w:tcW w:w="2978" w:type="dxa"/>
            <w:vMerge/>
          </w:tcPr>
          <w:p w14:paraId="40605980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4B5651F3" w14:textId="3AC4C064" w:rsidR="00A96EF1" w:rsidRPr="00756A5E" w:rsidRDefault="00A96EF1" w:rsidP="00A96E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Спеціальність 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1431F8" w:rsidRPr="00A71D92" w14:paraId="7044A3A3" w14:textId="77777777" w:rsidTr="00D613FF">
        <w:tc>
          <w:tcPr>
            <w:tcW w:w="2978" w:type="dxa"/>
            <w:vMerge/>
          </w:tcPr>
          <w:p w14:paraId="1CA731CE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552E677A" w14:textId="5A34E5D2" w:rsidR="001431F8" w:rsidRPr="00756A5E" w:rsidRDefault="001431F8" w:rsidP="006B6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Освітня програма «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Ветеринарні превентивні технології забезпечення здоров'я тварин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1431F8" w:rsidRPr="00A71D92" w14:paraId="0FC042CE" w14:textId="77777777" w:rsidTr="00D613FF">
        <w:tc>
          <w:tcPr>
            <w:tcW w:w="2978" w:type="dxa"/>
            <w:vMerge/>
          </w:tcPr>
          <w:p w14:paraId="144688C6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70F9BE69" w14:textId="49831F93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14:paraId="380AC1F9" w14:textId="2D3E46CB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2D3FE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431F8" w:rsidRPr="00A71D92" w14:paraId="6A6333EB" w14:textId="77777777" w:rsidTr="00D613FF">
        <w:tc>
          <w:tcPr>
            <w:tcW w:w="2978" w:type="dxa"/>
            <w:vMerge/>
          </w:tcPr>
          <w:p w14:paraId="5DCF880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7DA2D21A" w14:textId="1F182E04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2,4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1431F8" w:rsidRPr="00A71D92" w14:paraId="3126B58D" w14:textId="77777777" w:rsidTr="00D613FF">
        <w:tc>
          <w:tcPr>
            <w:tcW w:w="2978" w:type="dxa"/>
            <w:vMerge/>
          </w:tcPr>
          <w:p w14:paraId="7ACB9D9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</w:tcPr>
          <w:p w14:paraId="706A17FA" w14:textId="05A807CD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14:paraId="0BF5628F" w14:textId="77777777" w:rsidTr="00D613FF">
        <w:tc>
          <w:tcPr>
            <w:tcW w:w="2978" w:type="dxa"/>
          </w:tcPr>
          <w:p w14:paraId="350FB312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12190" w:type="dxa"/>
          </w:tcPr>
          <w:p w14:paraId="36559301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7DF9730A" w14:textId="77777777" w:rsidTr="00D613FF">
        <w:tc>
          <w:tcPr>
            <w:tcW w:w="2978" w:type="dxa"/>
          </w:tcPr>
          <w:p w14:paraId="5FD2CF9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12190" w:type="dxa"/>
          </w:tcPr>
          <w:p w14:paraId="3572537B" w14:textId="531C947D" w:rsidR="001431F8" w:rsidRPr="006B6515" w:rsidRDefault="00581698" w:rsidP="00756A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к.вет.н</w:t>
            </w:r>
            <w:proofErr w:type="spellEnd"/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., доцент кафедри епізоотології, мікробіології і вірусології</w:t>
            </w:r>
            <w:r w:rsidR="00756A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Мельник В.В._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</w:tc>
      </w:tr>
      <w:tr w:rsidR="001431F8" w:rsidRPr="00A71D92" w14:paraId="3E653955" w14:textId="77777777" w:rsidTr="00D613FF">
        <w:tc>
          <w:tcPr>
            <w:tcW w:w="2978" w:type="dxa"/>
          </w:tcPr>
          <w:p w14:paraId="65BF5345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2190" w:type="dxa"/>
          </w:tcPr>
          <w:p w14:paraId="79A4B29D" w14:textId="5D7346E6" w:rsidR="00581698" w:rsidRPr="00463FDC" w:rsidRDefault="006B6515" w:rsidP="006B6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hyperlink r:id="rId6" w:history="1"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melnyk</w:t>
              </w:r>
              <w:r w:rsidRPr="00463FD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_</w:t>
              </w:r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vv</w:t>
              </w:r>
              <w:r w:rsidRPr="00463FD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@</w:t>
              </w:r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nubip</w:t>
              </w:r>
              <w:r w:rsidRPr="00463FD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edu</w:t>
              </w:r>
              <w:r w:rsidRPr="00463FDC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CB014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ua</w:t>
              </w:r>
            </w:hyperlink>
            <w:r w:rsidRPr="00463F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463FDC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756A5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EA4DF9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1431F8" w:rsidRPr="00A71D92" w14:paraId="605E1994" w14:textId="77777777" w:rsidTr="00D613FF">
        <w:tc>
          <w:tcPr>
            <w:tcW w:w="2978" w:type="dxa"/>
          </w:tcPr>
          <w:p w14:paraId="4C5534F0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12190" w:type="dxa"/>
          </w:tcPr>
          <w:p w14:paraId="7BDCCAD4" w14:textId="1660EC7E" w:rsidR="001431F8" w:rsidRPr="00A71D92" w:rsidRDefault="00A93BF6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2C7D4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https://elearn.nubip.edu.ua/course/view.php?id=1878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50838A1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1479C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4FD524AE" w14:textId="77777777" w:rsidR="00A71D92" w:rsidRPr="00756A5E" w:rsidRDefault="00A71D92" w:rsidP="00756A5E">
      <w:pPr>
        <w:pStyle w:val="a8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756A5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(до 1000 друкованих знаків)</w:t>
      </w:r>
    </w:p>
    <w:p w14:paraId="638D3DF9" w14:textId="6407E969" w:rsidR="00756A5E" w:rsidRPr="00756A5E" w:rsidRDefault="00756A5E" w:rsidP="00756A5E">
      <w:pPr>
        <w:pStyle w:val="a8"/>
        <w:jc w:val="both"/>
        <w:rPr>
          <w:rFonts w:ascii="Times New Roman" w:hAnsi="Times New Roman" w:cs="Times New Roman"/>
          <w:color w:val="191919"/>
          <w:sz w:val="24"/>
          <w:szCs w:val="32"/>
          <w:u w:val="single"/>
        </w:rPr>
      </w:pPr>
      <w:r w:rsidRPr="00756A5E">
        <w:rPr>
          <w:rFonts w:ascii="Times New Roman" w:hAnsi="Times New Roman" w:cs="Times New Roman"/>
          <w:bCs/>
          <w:color w:val="191919"/>
          <w:sz w:val="24"/>
          <w:szCs w:val="32"/>
          <w:u w:val="single"/>
        </w:rPr>
        <w:t xml:space="preserve">Вивчення дисципліни </w:t>
      </w:r>
      <w:r w:rsidRPr="00756A5E">
        <w:rPr>
          <w:rFonts w:ascii="Times New Roman" w:hAnsi="Times New Roman" w:cs="Times New Roman"/>
          <w:bCs/>
          <w:sz w:val="24"/>
          <w:szCs w:val="24"/>
          <w:u w:val="single"/>
        </w:rPr>
        <w:t>«Превентивні технології забезпечення здоров’я коней»</w:t>
      </w:r>
      <w:r w:rsidRPr="00756A5E">
        <w:rPr>
          <w:rFonts w:ascii="Times New Roman" w:hAnsi="Times New Roman" w:cs="Times New Roman"/>
          <w:bCs/>
          <w:color w:val="191919"/>
          <w:sz w:val="24"/>
          <w:szCs w:val="32"/>
          <w:u w:val="single"/>
        </w:rPr>
        <w:t xml:space="preserve"> о</w:t>
      </w:r>
      <w:r w:rsidRPr="00756A5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світньої програми «Ветеринарні превентивні технології забезпечення здоров'я тварин» дасть можливість </w:t>
      </w:r>
      <w:r w:rsidRPr="00756A5E">
        <w:rPr>
          <w:rFonts w:ascii="Times New Roman" w:hAnsi="Times New Roman" w:cs="Times New Roman"/>
          <w:bCs/>
          <w:color w:val="191919"/>
          <w:sz w:val="24"/>
          <w:szCs w:val="32"/>
          <w:u w:val="single"/>
        </w:rPr>
        <w:t>поглибити теоретичні знання у магістранта з діагностики, лікування</w:t>
      </w:r>
      <w:r w:rsidRPr="00756A5E">
        <w:rPr>
          <w:rFonts w:ascii="Times New Roman" w:hAnsi="Times New Roman" w:cs="Times New Roman"/>
          <w:color w:val="191919"/>
          <w:sz w:val="24"/>
          <w:szCs w:val="32"/>
          <w:u w:val="single"/>
        </w:rPr>
        <w:t xml:space="preserve"> та профілактики інфекційних хвороб коней, допоможе в набутті ним практичних навиків з лабораторної діагностики основних інфекційних захворювань коней, а також допоможе розібратись в труднощах при постановці діагнозу, бере участь в підготовці магістранта до самостійної наукової й практичної роботи.</w:t>
      </w:r>
      <w:r>
        <w:rPr>
          <w:rFonts w:ascii="Times New Roman" w:hAnsi="Times New Roman" w:cs="Times New Roman"/>
          <w:color w:val="191919"/>
          <w:sz w:val="24"/>
          <w:szCs w:val="32"/>
          <w:u w:val="single"/>
        </w:rPr>
        <w:t>_________________________________________</w:t>
      </w:r>
    </w:p>
    <w:p w14:paraId="27538A1E" w14:textId="7238A026" w:rsid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4D1DC" w14:textId="77777777" w:rsidR="00F0424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66D66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47"/>
        <w:gridCol w:w="1296"/>
        <w:gridCol w:w="7513"/>
        <w:gridCol w:w="2835"/>
        <w:gridCol w:w="1701"/>
      </w:tblGrid>
      <w:tr w:rsidR="00F84EFF" w:rsidRPr="00A71D92" w14:paraId="1152559A" w14:textId="77777777" w:rsidTr="00D613FF">
        <w:tc>
          <w:tcPr>
            <w:tcW w:w="1647" w:type="dxa"/>
            <w:vAlign w:val="center"/>
          </w:tcPr>
          <w:p w14:paraId="04FFCD5B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96" w:type="dxa"/>
            <w:vAlign w:val="center"/>
          </w:tcPr>
          <w:p w14:paraId="6475D3BA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17488534" w14:textId="4BC9275C"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7513" w:type="dxa"/>
            <w:vAlign w:val="center"/>
          </w:tcPr>
          <w:p w14:paraId="542ACE51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835" w:type="dxa"/>
            <w:vAlign w:val="center"/>
          </w:tcPr>
          <w:p w14:paraId="0939DCA2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01" w:type="dxa"/>
            <w:vAlign w:val="center"/>
          </w:tcPr>
          <w:p w14:paraId="0BD1F936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14:paraId="13934E57" w14:textId="77777777" w:rsidTr="00D613FF">
        <w:tc>
          <w:tcPr>
            <w:tcW w:w="14992" w:type="dxa"/>
            <w:gridSpan w:val="5"/>
          </w:tcPr>
          <w:p w14:paraId="1EAAA547" w14:textId="046B5CA9" w:rsidR="00ED3451" w:rsidRPr="00A71D92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  <w:r w:rsidR="00AC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календарного плану* (3 навчальний семестр)</w:t>
            </w:r>
          </w:p>
        </w:tc>
      </w:tr>
      <w:tr w:rsidR="00544D46" w:rsidRPr="00A71D92" w14:paraId="1995BD32" w14:textId="77777777" w:rsidTr="00D613FF">
        <w:tc>
          <w:tcPr>
            <w:tcW w:w="14992" w:type="dxa"/>
            <w:gridSpan w:val="5"/>
          </w:tcPr>
          <w:p w14:paraId="15312644" w14:textId="6BA0936D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30384D">
              <w:rPr>
                <w:rFonts w:ascii="Times New Roman" w:hAnsi="Times New Roman" w:cs="Times New Roman"/>
                <w:b/>
                <w:sz w:val="24"/>
                <w:szCs w:val="24"/>
              </w:rPr>
              <w:t>. Інфекційні хвороби коней</w:t>
            </w:r>
          </w:p>
        </w:tc>
      </w:tr>
      <w:tr w:rsidR="00F84EFF" w:rsidRPr="00A71D92" w14:paraId="2C1571E1" w14:textId="77777777" w:rsidTr="00D613FF">
        <w:tc>
          <w:tcPr>
            <w:tcW w:w="1647" w:type="dxa"/>
            <w:vAlign w:val="center"/>
          </w:tcPr>
          <w:p w14:paraId="19AA36EC" w14:textId="32B31D67" w:rsidR="00544D46" w:rsidRPr="00737C1A" w:rsidRDefault="00737C1A" w:rsidP="00737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7C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737C1A">
              <w:rPr>
                <w:rFonts w:ascii="Times New Roman" w:hAnsi="Times New Roman" w:cs="Times New Roman"/>
                <w:sz w:val="24"/>
                <w:szCs w:val="24"/>
              </w:rPr>
              <w:t xml:space="preserve">Епізоотична ситуація та основи </w:t>
            </w:r>
            <w:r w:rsidRPr="0073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профілактики заразних хвороб коней</w:t>
            </w:r>
          </w:p>
        </w:tc>
        <w:tc>
          <w:tcPr>
            <w:tcW w:w="1296" w:type="dxa"/>
            <w:vAlign w:val="center"/>
          </w:tcPr>
          <w:p w14:paraId="57C81CD6" w14:textId="77777777" w:rsidR="00544D46" w:rsidRPr="00A71D92" w:rsidRDefault="00544D46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7513" w:type="dxa"/>
          </w:tcPr>
          <w:p w14:paraId="6F2200D1" w14:textId="059DBA01" w:rsidR="00737C1A" w:rsidRPr="0030384D" w:rsidRDefault="00544D46" w:rsidP="008F3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сучасну епізоотичну ситуацію </w:t>
            </w:r>
            <w:proofErr w:type="spellStart"/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інфекційних хвороб коней в Україні і світі (дані МЕБ). Чинні закони та інші нормативно-правові акти щодо безпеки та розповсюдження заразних хвороб коней.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Основні заходи і засоби профілактики інфекційних хвороб коней.</w:t>
            </w:r>
          </w:p>
          <w:p w14:paraId="54DC97A2" w14:textId="61B7DA88" w:rsidR="00544D46" w:rsidRPr="0030384D" w:rsidRDefault="00544D46" w:rsidP="008F3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</w:t>
            </w:r>
            <w:r w:rsidR="00737C1A"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 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проводити дослідження коней та об'єктів довкілля. розробляти і 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упроваджувати лікувально-профілактичні заходи при заразних хворобах коней у господарствах різної форми власності</w:t>
            </w:r>
            <w:r w:rsid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714B3F" w14:textId="27256430" w:rsidR="0030384D" w:rsidRDefault="00544D46" w:rsidP="00737C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Аналізувати</w:t>
            </w:r>
            <w:r w:rsidR="00737C1A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384D">
              <w:rPr>
                <w:rFonts w:ascii="Times New Roman" w:hAnsi="Times New Roman" w:cs="Times New Roman"/>
                <w:sz w:val="20"/>
                <w:szCs w:val="20"/>
              </w:rPr>
              <w:t xml:space="preserve">отримані дані сучасної 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>епізоотичн</w:t>
            </w:r>
            <w:r w:rsidR="0030384D">
              <w:rPr>
                <w:rFonts w:ascii="Times New Roman" w:hAnsi="Times New Roman" w:cs="Times New Roman"/>
                <w:sz w:val="20"/>
                <w:szCs w:val="20"/>
              </w:rPr>
              <w:t>ої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ситуаці</w:t>
            </w:r>
            <w:r w:rsidR="0030384D">
              <w:rPr>
                <w:rFonts w:ascii="Times New Roman" w:hAnsi="Times New Roman" w:cs="Times New Roman"/>
                <w:sz w:val="20"/>
                <w:szCs w:val="20"/>
              </w:rPr>
              <w:t>ї</w:t>
            </w:r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>шодо</w:t>
            </w:r>
            <w:proofErr w:type="spellEnd"/>
            <w:r w:rsidR="0030384D"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інфекційних хвороб коней в Україні і світі (дані МЕБ).</w:t>
            </w:r>
          </w:p>
          <w:p w14:paraId="5A5B2178" w14:textId="4CD347FE" w:rsidR="00544D46" w:rsidRPr="00CD3F30" w:rsidRDefault="00544D46" w:rsidP="00737C1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3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Використовувати</w:t>
            </w:r>
            <w:r w:rsidR="00737C1A" w:rsidRPr="00CD3F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отримані епізоотологічні дані щодо інфекційних хвороб коней для планування системи протиепізоотичних заходів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 xml:space="preserve"> на прикладі конеферми або окремо узятого приватного господарства.</w:t>
            </w:r>
          </w:p>
        </w:tc>
        <w:tc>
          <w:tcPr>
            <w:tcW w:w="2835" w:type="dxa"/>
            <w:vAlign w:val="center"/>
          </w:tcPr>
          <w:p w14:paraId="32032C00" w14:textId="000C59A4" w:rsidR="00EA4DF9" w:rsidRDefault="00EA4DF9" w:rsidP="00737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Провести аналіз повідомлень Держслужби або МЕБ щодо того чи іншого інфекційного захворювання коней.</w:t>
            </w:r>
          </w:p>
          <w:p w14:paraId="7C8DBD53" w14:textId="0AC2AD6F" w:rsidR="00544D46" w:rsidRPr="00EA4DF9" w:rsidRDefault="00544D46" w:rsidP="00EA4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Написання </w:t>
            </w:r>
            <w:proofErr w:type="spellStart"/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ессе</w:t>
            </w:r>
            <w:proofErr w:type="spellEnd"/>
            <w:r w:rsidR="00EA4DF9">
              <w:rPr>
                <w:rFonts w:ascii="Times New Roman" w:hAnsi="Times New Roman" w:cs="Times New Roman"/>
                <w:sz w:val="20"/>
                <w:szCs w:val="20"/>
              </w:rPr>
              <w:t xml:space="preserve"> щодо </w:t>
            </w:r>
            <w:r w:rsidR="00EA4D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інфекційного захворювання коней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4A514A2" w14:textId="0056434B" w:rsidR="00544D46" w:rsidRPr="00A71D92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F84EFF" w:rsidRPr="00A71D92" w14:paraId="55F5A896" w14:textId="77777777" w:rsidTr="00D613FF">
        <w:tc>
          <w:tcPr>
            <w:tcW w:w="1647" w:type="dxa"/>
            <w:vAlign w:val="center"/>
          </w:tcPr>
          <w:p w14:paraId="4DBE9536" w14:textId="4D5A1716" w:rsidR="00737C1A" w:rsidRPr="00737C1A" w:rsidRDefault="00737C1A" w:rsidP="00737C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7C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</w:t>
            </w:r>
            <w:r w:rsidRPr="00737C1A">
              <w:rPr>
                <w:rFonts w:ascii="Times New Roman" w:hAnsi="Times New Roman" w:cs="Times New Roman"/>
                <w:sz w:val="24"/>
                <w:szCs w:val="24"/>
              </w:rPr>
              <w:t>Вірусні хвороби коней</w:t>
            </w:r>
          </w:p>
        </w:tc>
        <w:tc>
          <w:tcPr>
            <w:tcW w:w="1296" w:type="dxa"/>
            <w:vAlign w:val="center"/>
          </w:tcPr>
          <w:p w14:paraId="236F159B" w14:textId="3DAFA265" w:rsidR="00737C1A" w:rsidRPr="00A71D92" w:rsidRDefault="00737C1A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1FEED95A" w14:textId="20D88047" w:rsidR="0030384D" w:rsidRPr="0030384D" w:rsidRDefault="0030384D" w:rsidP="00303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агальн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вірусів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, їх класифікаці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. Основні хвороби коней 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 xml:space="preserve">вірусної 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природи, систематичне положення збудників, заходи боротьби та профілактики. Основні засоби діагностики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236742" w14:textId="096AF289" w:rsidR="0030384D" w:rsidRDefault="0030384D" w:rsidP="00303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713D2404" w14:textId="02F6F0C9" w:rsidR="0030384D" w:rsidRDefault="0030384D" w:rsidP="00303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Розуміти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 xml:space="preserve"> епізоотологічні особливості та механізм розвитку хвороб коней вірусної етіології.</w:t>
            </w:r>
          </w:p>
          <w:p w14:paraId="779C9EBE" w14:textId="3C37B874" w:rsidR="00737C1A" w:rsidRPr="00CD3F30" w:rsidRDefault="0030384D" w:rsidP="003038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 xml:space="preserve"> сучасні засоби лікування та профілактики хвороб коней вірусної етіології.</w:t>
            </w: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E82CB25" w14:textId="7AEEEEC5" w:rsidR="00737C1A" w:rsidRPr="00EA4DF9" w:rsidRDefault="00EA4DF9" w:rsidP="00DB7A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0AB8287B" w14:textId="0860397D" w:rsidR="00737C1A" w:rsidRPr="00A71D92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84EFF" w:rsidRPr="00A71D92" w14:paraId="25AB3302" w14:textId="77777777" w:rsidTr="00D613FF">
        <w:tc>
          <w:tcPr>
            <w:tcW w:w="1647" w:type="dxa"/>
            <w:vAlign w:val="center"/>
          </w:tcPr>
          <w:p w14:paraId="4C515B48" w14:textId="1C886E87" w:rsidR="00737C1A" w:rsidRPr="00737C1A" w:rsidRDefault="00737C1A" w:rsidP="00D120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7C1A">
              <w:rPr>
                <w:rFonts w:ascii="Times New Roman" w:hAnsi="Times New Roman" w:cs="Times New Roman"/>
                <w:sz w:val="24"/>
                <w:szCs w:val="24"/>
              </w:rPr>
              <w:t>Тема 3. Бактеріальні хвороби коней. Мікози коней</w:t>
            </w:r>
          </w:p>
        </w:tc>
        <w:tc>
          <w:tcPr>
            <w:tcW w:w="1296" w:type="dxa"/>
            <w:vAlign w:val="center"/>
          </w:tcPr>
          <w:p w14:paraId="6827BC5C" w14:textId="15F5D064" w:rsidR="00737C1A" w:rsidRPr="00A71D92" w:rsidRDefault="00737C1A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6B5BAF97" w14:textId="4F0AA52D" w:rsidR="00F84EFF" w:rsidRPr="0030384D" w:rsidRDefault="00F84EFF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Знати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агальн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бактерій і грибів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, їх класифікаці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. Основні хвороби коней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бактеріальної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мікозної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sz w:val="20"/>
                <w:szCs w:val="20"/>
              </w:rPr>
              <w:t>природи, систематичне положення збудників, заходи боротьби та профілактики. Основні засоби діагностики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6C224D" w14:textId="77777777" w:rsidR="00F84EFF" w:rsidRDefault="00F84EFF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отримані дані щодо захворювань або окремо узятого конкретного захворювання.</w:t>
            </w:r>
          </w:p>
          <w:p w14:paraId="4A6CB3EC" w14:textId="4CD03813" w:rsidR="00F84EFF" w:rsidRDefault="00F84EFF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Розуміти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епізоотологічні особливості та механізм розвитку хвороб коней бактеріальної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мікозної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етіології.</w:t>
            </w:r>
          </w:p>
          <w:p w14:paraId="57720224" w14:textId="6252EA74" w:rsidR="00737C1A" w:rsidRPr="0030384D" w:rsidRDefault="00F84EFF" w:rsidP="00F042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Застосовувати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сучасні засоби лікування та профілактики хвороб коней бактеріальної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мікозної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етіології.</w:t>
            </w:r>
          </w:p>
        </w:tc>
        <w:tc>
          <w:tcPr>
            <w:tcW w:w="2835" w:type="dxa"/>
            <w:vAlign w:val="center"/>
          </w:tcPr>
          <w:p w14:paraId="4BC90E6C" w14:textId="4177CC9B" w:rsidR="00737C1A" w:rsidRPr="0030384D" w:rsidRDefault="00EA4DF9" w:rsidP="00DB7A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DF9">
              <w:rPr>
                <w:rFonts w:ascii="Times New Roman" w:hAnsi="Times New Roman" w:cs="Times New Roman"/>
                <w:bCs/>
                <w:sz w:val="20"/>
                <w:szCs w:val="20"/>
              </w:rPr>
              <w:t>Повинен написати реферат або оформити презентацію щодо певного інфекційного захворювання. Опрацювати сучасну літературу з питань які виносяться на самостійне вивчення</w:t>
            </w:r>
          </w:p>
        </w:tc>
        <w:tc>
          <w:tcPr>
            <w:tcW w:w="1701" w:type="dxa"/>
            <w:vAlign w:val="center"/>
          </w:tcPr>
          <w:p w14:paraId="7B3B1BEC" w14:textId="6E8A2E73" w:rsidR="00737C1A" w:rsidRPr="00A71D92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84EFF" w:rsidRPr="00A71D92" w14:paraId="784E3844" w14:textId="77777777" w:rsidTr="00D613FF">
        <w:tc>
          <w:tcPr>
            <w:tcW w:w="1647" w:type="dxa"/>
            <w:vAlign w:val="center"/>
          </w:tcPr>
          <w:p w14:paraId="33D09A63" w14:textId="0C2CCF14" w:rsidR="00737C1A" w:rsidRPr="00737C1A" w:rsidRDefault="00737C1A" w:rsidP="00D1200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7C1A">
              <w:rPr>
                <w:rFonts w:ascii="Times New Roman" w:hAnsi="Times New Roman" w:cs="Times New Roman"/>
                <w:sz w:val="24"/>
                <w:szCs w:val="24"/>
              </w:rPr>
              <w:t>Тема 4. Сучасна методи діагностики інфекційних хвороб коней</w:t>
            </w:r>
          </w:p>
        </w:tc>
        <w:tc>
          <w:tcPr>
            <w:tcW w:w="1296" w:type="dxa"/>
            <w:vAlign w:val="center"/>
          </w:tcPr>
          <w:p w14:paraId="64BF8674" w14:textId="12483BB0" w:rsidR="00737C1A" w:rsidRPr="00A71D92" w:rsidRDefault="00737C1A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513" w:type="dxa"/>
            <w:vAlign w:val="center"/>
          </w:tcPr>
          <w:p w14:paraId="6191AAD4" w14:textId="3F8EC38F" w:rsidR="0030384D" w:rsidRPr="0030384D" w:rsidRDefault="0030384D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8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038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нати 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 xml:space="preserve">Новітні методи діагностики </w:t>
            </w:r>
            <w:r w:rsidR="00CD3F30">
              <w:rPr>
                <w:rFonts w:ascii="Times New Roman" w:hAnsi="Times New Roman" w:cs="Times New Roman"/>
                <w:sz w:val="20"/>
                <w:szCs w:val="20"/>
              </w:rPr>
              <w:t xml:space="preserve">інфекційних хвороб 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коней (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епізоотологічні, клінічні, патологоанатомічні, лабораторні тощо</w:t>
            </w:r>
            <w:r w:rsidR="00CD3F30" w:rsidRPr="00CD3F3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8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538173" w14:textId="29D7F842" w:rsidR="0030384D" w:rsidRPr="0030384D" w:rsidRDefault="0030384D" w:rsidP="00F04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Вміти</w:t>
            </w:r>
            <w:r w:rsidRPr="000F4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4EFF" w:rsidRPr="000F47DD">
              <w:rPr>
                <w:rFonts w:ascii="Times New Roman" w:hAnsi="Times New Roman" w:cs="Times New Roman"/>
                <w:sz w:val="20"/>
                <w:szCs w:val="20"/>
              </w:rPr>
              <w:t>відбирати матеріал для того чи іншого лабораторного дослідження інфекційного захворювання.</w:t>
            </w:r>
          </w:p>
          <w:p w14:paraId="2295FCB7" w14:textId="78AB1D66" w:rsidR="00737C1A" w:rsidRPr="0030384D" w:rsidRDefault="0030384D" w:rsidP="00F042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7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Аналізувати </w:t>
            </w:r>
            <w:r w:rsidR="000F47DD">
              <w:rPr>
                <w:rFonts w:ascii="Times New Roman" w:hAnsi="Times New Roman" w:cs="Times New Roman"/>
                <w:sz w:val="20"/>
                <w:szCs w:val="20"/>
              </w:rPr>
              <w:t>отримані дані та використовувати їх при встановлені діагнозу</w:t>
            </w:r>
          </w:p>
        </w:tc>
        <w:tc>
          <w:tcPr>
            <w:tcW w:w="2835" w:type="dxa"/>
            <w:vAlign w:val="center"/>
          </w:tcPr>
          <w:p w14:paraId="6F0CB385" w14:textId="4DE76E69" w:rsidR="00737C1A" w:rsidRPr="0030384D" w:rsidRDefault="00CD3F30" w:rsidP="00CD3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F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лабораторному занятті студент повинен опанувати та набути навиків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відбору</w:t>
            </w:r>
            <w:r w:rsidRPr="00CD3F3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консервування, пакування,</w:t>
            </w:r>
            <w:r w:rsidRPr="00CD3F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транспортування та зберігання біологічного матеріалу для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D3F30">
              <w:rPr>
                <w:rFonts w:ascii="Times New Roman" w:hAnsi="Times New Roman" w:cs="Times New Roman"/>
                <w:bCs/>
                <w:sz w:val="20"/>
                <w:szCs w:val="20"/>
              </w:rPr>
              <w:t>лабораторних досліджень.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Оформлення супровідних документів</w:t>
            </w:r>
          </w:p>
        </w:tc>
        <w:tc>
          <w:tcPr>
            <w:tcW w:w="1701" w:type="dxa"/>
            <w:vAlign w:val="center"/>
          </w:tcPr>
          <w:p w14:paraId="554FFA9D" w14:textId="4624E947" w:rsidR="00737C1A" w:rsidRPr="00A71D92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1200A" w:rsidRPr="00A71D92" w14:paraId="62970A96" w14:textId="77777777" w:rsidTr="00D613FF">
        <w:tc>
          <w:tcPr>
            <w:tcW w:w="2943" w:type="dxa"/>
            <w:gridSpan w:val="2"/>
            <w:vAlign w:val="center"/>
          </w:tcPr>
          <w:p w14:paraId="4AD6C894" w14:textId="1635D5CB" w:rsidR="00D1200A" w:rsidRPr="00D1200A" w:rsidRDefault="00D1200A" w:rsidP="00D120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Написання модуля</w:t>
            </w:r>
          </w:p>
        </w:tc>
        <w:tc>
          <w:tcPr>
            <w:tcW w:w="7513" w:type="dxa"/>
            <w:vAlign w:val="center"/>
          </w:tcPr>
          <w:p w14:paraId="2CD9BEBE" w14:textId="77777777" w:rsidR="00D1200A" w:rsidRPr="0030384D" w:rsidRDefault="00D1200A" w:rsidP="000F4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87744DB" w14:textId="00AB23E3" w:rsidR="00D1200A" w:rsidRPr="00CD3F30" w:rsidRDefault="000E1AE2" w:rsidP="00CD3F3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 письмової роботи</w:t>
            </w:r>
          </w:p>
        </w:tc>
        <w:tc>
          <w:tcPr>
            <w:tcW w:w="1701" w:type="dxa"/>
            <w:vAlign w:val="center"/>
          </w:tcPr>
          <w:p w14:paraId="52996A7C" w14:textId="711F03C7" w:rsidR="00D1200A" w:rsidRDefault="00D1200A" w:rsidP="00DB7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0-100</w:t>
            </w:r>
          </w:p>
        </w:tc>
      </w:tr>
      <w:tr w:rsidR="00544D46" w:rsidRPr="00A71D92" w14:paraId="238F8865" w14:textId="77777777" w:rsidTr="00D613FF">
        <w:tc>
          <w:tcPr>
            <w:tcW w:w="13291" w:type="dxa"/>
            <w:gridSpan w:val="4"/>
          </w:tcPr>
          <w:p w14:paraId="6BD183BC" w14:textId="77777777" w:rsidR="00544D46" w:rsidRPr="00A71D92" w:rsidRDefault="00544D46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701" w:type="dxa"/>
          </w:tcPr>
          <w:p w14:paraId="5FB7A706" w14:textId="0DDCF7E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D1200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F84EFF" w:rsidRPr="00A71D92" w14:paraId="3927C848" w14:textId="77777777" w:rsidTr="00D613FF">
        <w:tc>
          <w:tcPr>
            <w:tcW w:w="1647" w:type="dxa"/>
          </w:tcPr>
          <w:p w14:paraId="54703DCB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296" w:type="dxa"/>
          </w:tcPr>
          <w:p w14:paraId="70FF69F0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11900A2F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E3796D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B627F4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544D46" w:rsidRPr="00A71D92" w14:paraId="037F125F" w14:textId="77777777" w:rsidTr="00D613FF">
        <w:tc>
          <w:tcPr>
            <w:tcW w:w="13291" w:type="dxa"/>
            <w:gridSpan w:val="4"/>
          </w:tcPr>
          <w:p w14:paraId="463B49BF" w14:textId="77777777" w:rsidR="00544D46" w:rsidRPr="00A71D92" w:rsidRDefault="00544D46" w:rsidP="00130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01" w:type="dxa"/>
          </w:tcPr>
          <w:p w14:paraId="6B890B30" w14:textId="75AAAF4D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D1200A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DB7A01" w:rsidRPr="000E1AE2" w14:paraId="246BABF3" w14:textId="77777777" w:rsidTr="00D613FF">
        <w:tc>
          <w:tcPr>
            <w:tcW w:w="14992" w:type="dxa"/>
            <w:gridSpan w:val="5"/>
          </w:tcPr>
          <w:p w14:paraId="3713DA05" w14:textId="77777777" w:rsidR="00DB7A01" w:rsidRPr="000E1AE2" w:rsidRDefault="00DB7A01" w:rsidP="00DB7A0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* Примітка. Проведення видів занять здійснюється відповідно до графіку освітнього процесу</w:t>
            </w:r>
          </w:p>
          <w:p w14:paraId="48248973" w14:textId="16CE3850" w:rsidR="00D1200A" w:rsidRPr="000E1AE2" w:rsidRDefault="00D1200A" w:rsidP="00D12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 Рейтинг з навчальної роботи: R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= 0,70×R(І)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×R(2)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хR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×R(4)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ом+R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-R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Штр</w:t>
            </w:r>
            <w:proofErr w:type="spellEnd"/>
          </w:p>
          <w:p w14:paraId="56E4D928" w14:textId="0D85268C" w:rsidR="00D1200A" w:rsidRPr="000E1AE2" w:rsidRDefault="00D1200A" w:rsidP="00DB7A0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*** Для визначення рейтингу студента (слухача) із засвоєння дисципліни RДИС (до 100 балів) одержаний рейтинг з атестації (до 30 балів) додається до рейтингу студента (слухача) з навчальної роботи RНР (до 70 балів):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ДИС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=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+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АТ</w:t>
            </w:r>
          </w:p>
        </w:tc>
      </w:tr>
    </w:tbl>
    <w:p w14:paraId="25EF8E73" w14:textId="77777777" w:rsidR="00F04242" w:rsidRPr="00A71D9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D26C7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ПОЛІТИКА ОЦІНЮВАННЯ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863"/>
        <w:gridCol w:w="13129"/>
      </w:tblGrid>
      <w:tr w:rsidR="00130933" w:rsidRPr="00F04242" w14:paraId="0305F25D" w14:textId="77777777" w:rsidTr="00D613FF">
        <w:tc>
          <w:tcPr>
            <w:tcW w:w="1863" w:type="dxa"/>
            <w:vAlign w:val="center"/>
          </w:tcPr>
          <w:p w14:paraId="7BB56FCA" w14:textId="77777777" w:rsidR="00130933" w:rsidRPr="00F04242" w:rsidRDefault="00130933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13129" w:type="dxa"/>
          </w:tcPr>
          <w:p w14:paraId="11A9D7CD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 основних принципів проведення занять належать: </w:t>
            </w:r>
          </w:p>
          <w:p w14:paraId="3BC88E84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Відкритість до нових ідей, толерантність, доброзичлива партнерська атмосфера взаєморозуміння та можливість творчого розвитку; </w:t>
            </w:r>
          </w:p>
          <w:p w14:paraId="18103CE4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Усі завдання, передбачені програмою, мають бути виконані у встановлений термін; </w:t>
            </w:r>
          </w:p>
          <w:p w14:paraId="41FCAFA0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Різноманітні моделі роботи на заняттях, дадуть можливість здобувачам вищої освіти розкрити свій власний потенціал, навчитись довіряти своїм партнерам, розвинути навички інтелектуальної роботи в команді; </w:t>
            </w:r>
          </w:p>
          <w:p w14:paraId="15EA5AD4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Передбачено інтенсивне використання мобільних технологій навчання, що дає змогу здобувачам вищої освіти та викладачеві спілкуватися один з одним у будь-який зручний для них час, а здобувачам вищої освіти, які відсутні на заняттях, отримати необхідну навчальну інформацію та представити виконані завдання; </w:t>
            </w:r>
          </w:p>
          <w:p w14:paraId="5AAB385A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Протягом навчання активно розвиваються і підтримуються навички здобувачів, які можуть підготувати додаткову інформацію за темою, що не увійшла до переліку тем лабораторних занять змістовних модулів та виступити з презентацією та інформуванням аудиторії додатково; </w:t>
            </w:r>
          </w:p>
          <w:p w14:paraId="759DBD84" w14:textId="77777777" w:rsidR="0030384D" w:rsidRPr="00D613FF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лікарняний); </w:t>
            </w:r>
          </w:p>
          <w:p w14:paraId="49E576A8" w14:textId="3DED54FF" w:rsidR="00130933" w:rsidRPr="00D613FF" w:rsidRDefault="0030384D" w:rsidP="00463F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 Якщо здобувач вищої освіти відсутній з поважної причини, то він/вона повинні презентувати виконані самостійно завдання під час самостійної підготовки та консультації викладача у час виділений для </w:t>
            </w:r>
            <w:proofErr w:type="spellStart"/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>відпрацювань</w:t>
            </w:r>
            <w:proofErr w:type="spellEnd"/>
            <w:r w:rsidRPr="00D613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 науково-педагогічним працівником за відповідно розробленим розкладом консультацій.</w:t>
            </w:r>
          </w:p>
        </w:tc>
      </w:tr>
      <w:tr w:rsidR="00130933" w:rsidRPr="00F04242" w14:paraId="1723C87A" w14:textId="77777777" w:rsidTr="00D613FF">
        <w:tc>
          <w:tcPr>
            <w:tcW w:w="1863" w:type="dxa"/>
            <w:vAlign w:val="center"/>
          </w:tcPr>
          <w:p w14:paraId="162F7968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13129" w:type="dxa"/>
          </w:tcPr>
          <w:p w14:paraId="698E6774" w14:textId="630F0047" w:rsidR="00130933" w:rsidRPr="00D613FF" w:rsidRDefault="00544D46" w:rsidP="0051112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sz w:val="20"/>
                <w:szCs w:val="20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D613FF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613FF">
              <w:rPr>
                <w:rFonts w:ascii="Times New Roman" w:hAnsi="Times New Roman" w:cs="Times New Roman"/>
                <w:sz w:val="20"/>
                <w:szCs w:val="20"/>
              </w:rPr>
              <w:t xml:space="preserve">. із використанням мобільних девайсів). </w:t>
            </w:r>
            <w:r w:rsidR="00511122" w:rsidRPr="00D613FF">
              <w:rPr>
                <w:rFonts w:ascii="Times New Roman" w:hAnsi="Times New Roman" w:cs="Times New Roman"/>
                <w:sz w:val="20"/>
                <w:szCs w:val="20"/>
              </w:rPr>
              <w:t xml:space="preserve">Реферати, </w:t>
            </w:r>
            <w:proofErr w:type="spellStart"/>
            <w:r w:rsidR="00511122" w:rsidRPr="00D613FF">
              <w:rPr>
                <w:rFonts w:ascii="Times New Roman" w:hAnsi="Times New Roman" w:cs="Times New Roman"/>
                <w:sz w:val="20"/>
                <w:szCs w:val="20"/>
              </w:rPr>
              <w:t>ессе</w:t>
            </w:r>
            <w:proofErr w:type="spellEnd"/>
            <w:r w:rsidR="00511122" w:rsidRPr="00D613FF">
              <w:rPr>
                <w:rFonts w:ascii="Times New Roman" w:hAnsi="Times New Roman" w:cs="Times New Roman"/>
                <w:sz w:val="20"/>
                <w:szCs w:val="20"/>
              </w:rPr>
              <w:t>, презентаційні матеріали повинні мати коректні текстові посилання на використану літературу Під час роботи над індивідуальними науково-дослідними завданнями не допустимо порушення академічної доброчесності.</w:t>
            </w:r>
          </w:p>
        </w:tc>
      </w:tr>
      <w:tr w:rsidR="00130933" w:rsidRPr="00F04242" w14:paraId="5456AC8E" w14:textId="77777777" w:rsidTr="00D613FF">
        <w:tc>
          <w:tcPr>
            <w:tcW w:w="1863" w:type="dxa"/>
            <w:vAlign w:val="center"/>
          </w:tcPr>
          <w:p w14:paraId="52CEA30C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13129" w:type="dxa"/>
          </w:tcPr>
          <w:p w14:paraId="4B74A124" w14:textId="77777777" w:rsidR="00130933" w:rsidRPr="00D613FF" w:rsidRDefault="00544D46" w:rsidP="005111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FF">
              <w:rPr>
                <w:rFonts w:ascii="Times New Roman" w:hAnsi="Times New Roman" w:cs="Times New Roman"/>
                <w:sz w:val="20"/>
                <w:szCs w:val="20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D613FF">
              <w:rPr>
                <w:rFonts w:ascii="Times New Roman" w:hAnsi="Times New Roman" w:cs="Times New Roman"/>
                <w:sz w:val="20"/>
                <w:szCs w:val="20"/>
              </w:rPr>
              <w:t>деканом факультету</w:t>
            </w:r>
            <w:r w:rsidRPr="00D613F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0EC5D67" w14:textId="77777777" w:rsidR="00F04242" w:rsidRPr="00A71D92" w:rsidRDefault="00F04242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345A1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53"/>
        <w:gridCol w:w="5528"/>
        <w:gridCol w:w="4111"/>
      </w:tblGrid>
      <w:tr w:rsidR="00A71D92" w:rsidRPr="00A71D92" w14:paraId="36737E09" w14:textId="77777777" w:rsidTr="00D613FF">
        <w:tc>
          <w:tcPr>
            <w:tcW w:w="5353" w:type="dxa"/>
            <w:vMerge w:val="restart"/>
            <w:vAlign w:val="center"/>
          </w:tcPr>
          <w:p w14:paraId="0CD2CFEA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9639" w:type="dxa"/>
            <w:gridSpan w:val="2"/>
            <w:vAlign w:val="center"/>
          </w:tcPr>
          <w:p w14:paraId="0E7EEDBF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2594810D" w14:textId="77777777" w:rsidTr="00D613FF">
        <w:tc>
          <w:tcPr>
            <w:tcW w:w="5353" w:type="dxa"/>
            <w:vMerge/>
            <w:vAlign w:val="center"/>
          </w:tcPr>
          <w:p w14:paraId="07B6DF99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DACB4EC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4111" w:type="dxa"/>
          </w:tcPr>
          <w:p w14:paraId="35A56806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24032077" w14:textId="77777777" w:rsidTr="00D613FF">
        <w:tc>
          <w:tcPr>
            <w:tcW w:w="5353" w:type="dxa"/>
            <w:vAlign w:val="center"/>
          </w:tcPr>
          <w:p w14:paraId="4D27A5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5528" w:type="dxa"/>
            <w:vAlign w:val="center"/>
          </w:tcPr>
          <w:p w14:paraId="050591F9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4111" w:type="dxa"/>
            <w:vMerge w:val="restart"/>
            <w:vAlign w:val="center"/>
          </w:tcPr>
          <w:p w14:paraId="41BDA8D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6E360C71" w14:textId="77777777" w:rsidTr="00D613FF">
        <w:tc>
          <w:tcPr>
            <w:tcW w:w="5353" w:type="dxa"/>
            <w:vAlign w:val="center"/>
          </w:tcPr>
          <w:p w14:paraId="27013F56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5528" w:type="dxa"/>
            <w:vAlign w:val="center"/>
          </w:tcPr>
          <w:p w14:paraId="75E7925E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4111" w:type="dxa"/>
            <w:vMerge/>
            <w:vAlign w:val="center"/>
          </w:tcPr>
          <w:p w14:paraId="4FE70EF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FC4092F" w14:textId="77777777" w:rsidTr="00D613FF">
        <w:tc>
          <w:tcPr>
            <w:tcW w:w="5353" w:type="dxa"/>
            <w:vAlign w:val="center"/>
          </w:tcPr>
          <w:p w14:paraId="2A884EC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5528" w:type="dxa"/>
            <w:vAlign w:val="center"/>
          </w:tcPr>
          <w:p w14:paraId="4A42E85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4111" w:type="dxa"/>
            <w:vMerge/>
            <w:vAlign w:val="center"/>
          </w:tcPr>
          <w:p w14:paraId="03D8D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DE1A86F" w14:textId="77777777" w:rsidTr="00D613FF">
        <w:tc>
          <w:tcPr>
            <w:tcW w:w="5353" w:type="dxa"/>
            <w:vAlign w:val="center"/>
          </w:tcPr>
          <w:p w14:paraId="0EA11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5528" w:type="dxa"/>
            <w:vAlign w:val="center"/>
          </w:tcPr>
          <w:p w14:paraId="54035385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4111" w:type="dxa"/>
            <w:vAlign w:val="center"/>
          </w:tcPr>
          <w:p w14:paraId="1EA7FEA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4D638F16" w14:textId="7F751C6D" w:rsidR="00511122" w:rsidRDefault="00511122" w:rsidP="00737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11122" w:rsidSect="00D613F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500"/>
    <w:multiLevelType w:val="hybridMultilevel"/>
    <w:tmpl w:val="3644201A"/>
    <w:lvl w:ilvl="0" w:tplc="02668310">
      <w:numFmt w:val="bullet"/>
      <w:lvlText w:val="−"/>
      <w:lvlJc w:val="left"/>
      <w:pPr>
        <w:tabs>
          <w:tab w:val="num" w:pos="709"/>
        </w:tabs>
        <w:ind w:left="907" w:hanging="19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120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7AA"/>
    <w:rsid w:val="000E1AE2"/>
    <w:rsid w:val="000F47DD"/>
    <w:rsid w:val="00130933"/>
    <w:rsid w:val="001431F8"/>
    <w:rsid w:val="0020200E"/>
    <w:rsid w:val="00246136"/>
    <w:rsid w:val="002D3FEE"/>
    <w:rsid w:val="0030384D"/>
    <w:rsid w:val="00463FDC"/>
    <w:rsid w:val="00511122"/>
    <w:rsid w:val="00544D46"/>
    <w:rsid w:val="00581698"/>
    <w:rsid w:val="005D323C"/>
    <w:rsid w:val="00654D54"/>
    <w:rsid w:val="006626BC"/>
    <w:rsid w:val="006B6515"/>
    <w:rsid w:val="00737C1A"/>
    <w:rsid w:val="00756A5E"/>
    <w:rsid w:val="00880706"/>
    <w:rsid w:val="008927AA"/>
    <w:rsid w:val="00A71D92"/>
    <w:rsid w:val="00A93BF6"/>
    <w:rsid w:val="00A96EF1"/>
    <w:rsid w:val="00AC2983"/>
    <w:rsid w:val="00B44676"/>
    <w:rsid w:val="00CD3F30"/>
    <w:rsid w:val="00D1200A"/>
    <w:rsid w:val="00D613FF"/>
    <w:rsid w:val="00DB7A01"/>
    <w:rsid w:val="00DD7841"/>
    <w:rsid w:val="00EA4DF9"/>
    <w:rsid w:val="00EC07A1"/>
    <w:rsid w:val="00ED3451"/>
    <w:rsid w:val="00F04242"/>
    <w:rsid w:val="00F82151"/>
    <w:rsid w:val="00F8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F6C5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B651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651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756A5E"/>
    <w:pPr>
      <w:spacing w:after="0" w:line="240" w:lineRule="auto"/>
    </w:pPr>
  </w:style>
  <w:style w:type="paragraph" w:styleId="a9">
    <w:name w:val="Body Text"/>
    <w:basedOn w:val="a"/>
    <w:link w:val="aa"/>
    <w:rsid w:val="00D1200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aa">
    <w:name w:val="Основной текст Знак"/>
    <w:basedOn w:val="a0"/>
    <w:link w:val="a9"/>
    <w:rsid w:val="00D1200A"/>
    <w:rPr>
      <w:rFonts w:ascii="Times New Roman CYR" w:eastAsia="Times New Roman" w:hAnsi="Times New Roman CYR" w:cs="Times New Roman"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18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nyk_vv@nubip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4866</Words>
  <Characters>2775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Володимир Мельник</cp:lastModifiedBy>
  <cp:revision>22</cp:revision>
  <dcterms:created xsi:type="dcterms:W3CDTF">2020-06-04T09:15:00Z</dcterms:created>
  <dcterms:modified xsi:type="dcterms:W3CDTF">2022-05-16T10:23:00Z</dcterms:modified>
</cp:coreProperties>
</file>