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6243E19C" w:rsidR="001431F8" w:rsidRPr="004F48A2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8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48A2" w:rsidRPr="004F4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Превентивні технології забезпеч</w:t>
            </w:r>
            <w:r w:rsidR="000C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ення </w:t>
            </w:r>
            <w:proofErr w:type="spellStart"/>
            <w:r w:rsidR="000C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здоровʼя</w:t>
            </w:r>
            <w:proofErr w:type="spellEnd"/>
            <w:r w:rsidR="000C7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дрібних домашніх </w:t>
            </w:r>
            <w:r w:rsidR="000C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</w:t>
            </w:r>
            <w:r w:rsidR="004F48A2" w:rsidRPr="004F4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екзотичних тварин</w:t>
            </w:r>
            <w:r w:rsidRPr="004F48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18E912D6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5A34E5D2" w:rsidR="001431F8" w:rsidRPr="00756A5E" w:rsidRDefault="001431F8" w:rsidP="006B65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Освітня програма «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Ветеринарні превентивні технології забезпечення здоров'я тварин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6434C78F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0C72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0C72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5C20399F" w:rsidR="001431F8" w:rsidRPr="00A71D92" w:rsidRDefault="001431F8" w:rsidP="00E37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C72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3572537B" w14:textId="46F9F13B" w:rsidR="001431F8" w:rsidRPr="006B6515" w:rsidRDefault="00581698" w:rsidP="00E37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епізоотології, мікробіології і вірусології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F4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МАРТИНЮК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О.Г.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F493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6641F65D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="00A31AA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="00E3796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31AAD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sandr70@gmail.com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31AA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16C64F40" w14:textId="02AB3576" w:rsidR="003834F6" w:rsidRPr="00756A5E" w:rsidRDefault="003834F6" w:rsidP="003834F6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«Превентивні технології забезпеч</w:t>
      </w:r>
      <w:r w:rsidR="000C72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ення </w:t>
      </w:r>
      <w:proofErr w:type="spellStart"/>
      <w:r w:rsidR="000C729E">
        <w:rPr>
          <w:rFonts w:ascii="Times New Roman" w:hAnsi="Times New Roman" w:cs="Times New Roman"/>
          <w:bCs/>
          <w:sz w:val="24"/>
          <w:szCs w:val="24"/>
          <w:u w:val="single"/>
        </w:rPr>
        <w:t>здоровʼя</w:t>
      </w:r>
      <w:proofErr w:type="spellEnd"/>
      <w:r w:rsidR="000C72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дрібних домашніх та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екзотичних тварин»</w:t>
      </w:r>
      <w:r w:rsidRPr="004F48A2">
        <w:rPr>
          <w:rFonts w:ascii="Times New Roman" w:hAnsi="Times New Roman" w:cs="Times New Roman"/>
          <w:bCs/>
          <w:color w:val="191919"/>
          <w:u w:val="single"/>
        </w:rPr>
        <w:t xml:space="preserve">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о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світньої програми «Ветеринарні превентивні технології забезпечення здоров'я тварин» 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</w:t>
      </w:r>
      <w:proofErr w:type="spellStart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хвороб</w:t>
      </w:r>
      <w:proofErr w:type="spellEnd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, допоможе в набутті ним практичних навиків з лабораторної діагностики основних інфекційних захворювань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, а також допоможе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здійснити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диференційну діагностику при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постановці діагнозу,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що підготує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магістранта до самостійної наукової й практичної роботи.</w:t>
      </w:r>
    </w:p>
    <w:p w14:paraId="50DAFA21" w14:textId="77777777" w:rsidR="003834F6" w:rsidRDefault="003834F6" w:rsidP="0038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672"/>
        <w:gridCol w:w="1296"/>
        <w:gridCol w:w="2959"/>
        <w:gridCol w:w="2091"/>
        <w:gridCol w:w="1586"/>
      </w:tblGrid>
      <w:tr w:rsidR="00F84EFF" w:rsidRPr="00A71D92" w14:paraId="1152559A" w14:textId="77777777" w:rsidTr="000E1AE2">
        <w:tc>
          <w:tcPr>
            <w:tcW w:w="1647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77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98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046B5CA9"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(3 навчальний семестр)</w:t>
            </w:r>
          </w:p>
        </w:tc>
      </w:tr>
      <w:tr w:rsidR="00544D46" w:rsidRPr="00A71D92" w14:paraId="1995BD32" w14:textId="77777777" w:rsidTr="00EA4DF9">
        <w:tc>
          <w:tcPr>
            <w:tcW w:w="9604" w:type="dxa"/>
            <w:gridSpan w:val="5"/>
          </w:tcPr>
          <w:p w14:paraId="15312644" w14:textId="2535DD0E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Інфекційні хвороби </w:t>
            </w:r>
            <w:r w:rsidR="003834F6" w:rsidRPr="0038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дрібних домашніх і екзотичних тварин</w:t>
            </w:r>
          </w:p>
        </w:tc>
      </w:tr>
      <w:tr w:rsidR="003834F6" w:rsidRPr="00A71D92" w14:paraId="2C1571E1" w14:textId="77777777" w:rsidTr="00A11E8F">
        <w:tc>
          <w:tcPr>
            <w:tcW w:w="1647" w:type="dxa"/>
          </w:tcPr>
          <w:p w14:paraId="19AA36EC" w14:textId="30A7880E" w:rsidR="003834F6" w:rsidRPr="003834F6" w:rsidRDefault="003834F6" w:rsidP="003834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Тема 1. Епізоотична ситуація та основи профілактики заразних </w:t>
            </w:r>
            <w:proofErr w:type="spellStart"/>
            <w:r w:rsidRPr="003834F6">
              <w:rPr>
                <w:rFonts w:ascii="Times New Roman" w:hAnsi="Times New Roman" w:cs="Times New Roman"/>
                <w:bCs/>
                <w:sz w:val="24"/>
              </w:rPr>
              <w:t>хвороб</w:t>
            </w:r>
            <w:proofErr w:type="spellEnd"/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 собак, котів та екзотичних тварин</w:t>
            </w:r>
          </w:p>
        </w:tc>
        <w:tc>
          <w:tcPr>
            <w:tcW w:w="1296" w:type="dxa"/>
            <w:vAlign w:val="center"/>
          </w:tcPr>
          <w:p w14:paraId="57C81CD6" w14:textId="77777777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14:paraId="31BA2C54" w14:textId="5DC43331" w:rsidR="00EC6378" w:rsidRPr="0030384D" w:rsidRDefault="003834F6" w:rsidP="00EC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6F2200D1" w14:textId="7B622479" w:rsidR="003834F6" w:rsidRPr="0030384D" w:rsidRDefault="003834F6" w:rsidP="00EC6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коней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C97A2" w14:textId="24357A85" w:rsidR="003834F6" w:rsidRPr="00EC6378" w:rsidRDefault="003834F6" w:rsidP="00EC6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дослідження </w:t>
            </w:r>
            <w:r w:rsidR="00EC6378" w:rsidRPr="00EC6378">
              <w:rPr>
                <w:rFonts w:ascii="Times New Roman" w:hAnsi="Times New Roman" w:cs="Times New Roman"/>
                <w:sz w:val="20"/>
                <w:szCs w:val="20"/>
              </w:rPr>
              <w:t>тварин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та о</w:t>
            </w:r>
            <w:r w:rsidR="00EC6378"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="00EC6378"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 w:rsidR="00EC6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включаючи розумне використання </w:t>
            </w:r>
            <w:r w:rsidR="00EC6378"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 w:rsidR="00EC6378"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="00EC6378"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5714B3F" w14:textId="32AA11C4" w:rsidR="003834F6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27E4683" w14:textId="77777777" w:rsidR="00EC6378" w:rsidRPr="008C0617" w:rsidRDefault="003834F6" w:rsidP="008C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C6378"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A5B2178" w14:textId="716404DA" w:rsidR="003834F6" w:rsidRPr="00CD3F30" w:rsidRDefault="00EC6378" w:rsidP="008C06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8" w:type="dxa"/>
            <w:vAlign w:val="center"/>
          </w:tcPr>
          <w:p w14:paraId="32032C00" w14:textId="73BFCD92" w:rsidR="003834F6" w:rsidRDefault="003834F6" w:rsidP="0038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аналіз повідомлень Держслужби або МЕБ щодо того чи іншого інфекційного захворювання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17" w:rsidRPr="008C0617">
              <w:rPr>
                <w:rFonts w:ascii="Times New Roman" w:hAnsi="Times New Roman" w:cs="Times New Roman"/>
                <w:bCs/>
                <w:sz w:val="20"/>
                <w:szCs w:val="20"/>
              </w:rPr>
              <w:t>домашніх і екзотичних тварин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8DBD53" w14:textId="7A7BBAB0" w:rsidR="003834F6" w:rsidRPr="00EA4DF9" w:rsidRDefault="003834F6" w:rsidP="008C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>цих тварин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Align w:val="center"/>
          </w:tcPr>
          <w:p w14:paraId="64A514A2" w14:textId="0056434B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34F6" w:rsidRPr="00A71D92" w14:paraId="55F5A896" w14:textId="77777777" w:rsidTr="00A11E8F">
        <w:tc>
          <w:tcPr>
            <w:tcW w:w="1647" w:type="dxa"/>
          </w:tcPr>
          <w:p w14:paraId="4DBE9536" w14:textId="59ADA076" w:rsidR="003834F6" w:rsidRPr="003834F6" w:rsidRDefault="003834F6" w:rsidP="003834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2</w:t>
            </w:r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. Особливості діагностики, лікування та профілактики вірусних </w:t>
            </w:r>
            <w:proofErr w:type="spellStart"/>
            <w:r w:rsidRPr="003834F6">
              <w:rPr>
                <w:rFonts w:ascii="Times New Roman" w:hAnsi="Times New Roman" w:cs="Times New Roman"/>
                <w:bCs/>
                <w:sz w:val="24"/>
              </w:rPr>
              <w:t>хвороб</w:t>
            </w:r>
            <w:proofErr w:type="spellEnd"/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 дрібних домашніх і екзотичних тварин</w:t>
            </w:r>
          </w:p>
        </w:tc>
        <w:tc>
          <w:tcPr>
            <w:tcW w:w="1296" w:type="dxa"/>
            <w:vAlign w:val="center"/>
          </w:tcPr>
          <w:p w14:paraId="236F159B" w14:textId="3DAFA265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  <w:vAlign w:val="center"/>
          </w:tcPr>
          <w:p w14:paraId="1FEED95A" w14:textId="1E65881C" w:rsidR="003834F6" w:rsidRPr="0030384D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вірусів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36742" w14:textId="096AF289" w:rsidR="003834F6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713D2404" w14:textId="3823657A" w:rsidR="003834F6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вірусної етіології.</w:t>
            </w:r>
          </w:p>
          <w:p w14:paraId="779C9EBE" w14:textId="40F8C1DA" w:rsidR="003834F6" w:rsidRPr="00CD3F30" w:rsidRDefault="003834F6" w:rsidP="008C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вірусної етіології.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4E82CB25" w14:textId="7AEEEEC5" w:rsidR="003834F6" w:rsidRPr="00EA4DF9" w:rsidRDefault="003834F6" w:rsidP="003834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Align w:val="center"/>
          </w:tcPr>
          <w:p w14:paraId="0AB8287B" w14:textId="0860397D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34F6" w:rsidRPr="00A71D92" w14:paraId="25AB3302" w14:textId="77777777" w:rsidTr="00A11E8F">
        <w:tc>
          <w:tcPr>
            <w:tcW w:w="1647" w:type="dxa"/>
          </w:tcPr>
          <w:p w14:paraId="4C515B48" w14:textId="75693EDB" w:rsidR="003834F6" w:rsidRPr="003834F6" w:rsidRDefault="003834F6" w:rsidP="003834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. Особливості діагностики, лікування та профілактики бактеріальних та грибкових </w:t>
            </w:r>
            <w:proofErr w:type="spellStart"/>
            <w:r w:rsidRPr="003834F6">
              <w:rPr>
                <w:rFonts w:ascii="Times New Roman" w:hAnsi="Times New Roman" w:cs="Times New Roman"/>
                <w:bCs/>
                <w:sz w:val="24"/>
              </w:rPr>
              <w:t>хвороб</w:t>
            </w:r>
            <w:proofErr w:type="spellEnd"/>
            <w:r w:rsidRPr="003834F6">
              <w:rPr>
                <w:rFonts w:ascii="Times New Roman" w:hAnsi="Times New Roman" w:cs="Times New Roman"/>
                <w:bCs/>
                <w:sz w:val="24"/>
              </w:rPr>
              <w:t xml:space="preserve"> дрібних домашніх і екзотичних тварин</w:t>
            </w:r>
          </w:p>
        </w:tc>
        <w:tc>
          <w:tcPr>
            <w:tcW w:w="1296" w:type="dxa"/>
            <w:vAlign w:val="center"/>
          </w:tcPr>
          <w:p w14:paraId="6827BC5C" w14:textId="15F5D064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  <w:vAlign w:val="center"/>
          </w:tcPr>
          <w:p w14:paraId="6B5BAF97" w14:textId="22319B71" w:rsidR="003834F6" w:rsidRPr="0030384D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бактерій і грибів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6C224D" w14:textId="77777777" w:rsidR="003834F6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4A6CB3EC" w14:textId="64251052" w:rsidR="003834F6" w:rsidRDefault="003834F6" w:rsidP="00383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епізоотологічні особливості та механізм розвитку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  <w:p w14:paraId="57720224" w14:textId="4E13CAD2" w:rsidR="003834F6" w:rsidRPr="0030384D" w:rsidRDefault="003834F6" w:rsidP="008C06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 та </w:t>
            </w:r>
            <w:r w:rsidR="008C0617" w:rsidRPr="008C0617">
              <w:rPr>
                <w:rFonts w:ascii="Times New Roman" w:hAnsi="Times New Roman" w:cs="Times New Roman"/>
                <w:sz w:val="20"/>
                <w:szCs w:val="20"/>
              </w:rPr>
              <w:t>вибір лікування, включаючи розумне використання протимікробних препаратів чи розвиток протимікробної резистентності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17"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збудників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бактеріальної і </w:t>
            </w:r>
            <w:proofErr w:type="spellStart"/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</w:tc>
        <w:tc>
          <w:tcPr>
            <w:tcW w:w="2098" w:type="dxa"/>
            <w:vAlign w:val="center"/>
          </w:tcPr>
          <w:p w14:paraId="4BC90E6C" w14:textId="4177CC9B" w:rsidR="003834F6" w:rsidRPr="0030384D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Align w:val="center"/>
          </w:tcPr>
          <w:p w14:paraId="7B3B1BEC" w14:textId="6E8A2E73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34F6" w:rsidRPr="00A71D92" w14:paraId="784E3844" w14:textId="77777777" w:rsidTr="00A11E8F">
        <w:tc>
          <w:tcPr>
            <w:tcW w:w="1647" w:type="dxa"/>
          </w:tcPr>
          <w:p w14:paraId="33D09A63" w14:textId="695CC6B1" w:rsidR="003834F6" w:rsidRPr="003834F6" w:rsidRDefault="003834F6" w:rsidP="003834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4F6">
              <w:rPr>
                <w:rFonts w:ascii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834F6">
              <w:rPr>
                <w:rFonts w:ascii="Times New Roman" w:hAnsi="Times New Roman" w:cs="Times New Roman"/>
                <w:sz w:val="24"/>
              </w:rPr>
              <w:t xml:space="preserve">. Особливості клітинної та гуморальної імунної </w:t>
            </w:r>
            <w:r w:rsidRPr="003834F6">
              <w:rPr>
                <w:rFonts w:ascii="Times New Roman" w:hAnsi="Times New Roman" w:cs="Times New Roman"/>
                <w:sz w:val="24"/>
              </w:rPr>
              <w:lastRenderedPageBreak/>
              <w:t xml:space="preserve">відповіді за інфекційних </w:t>
            </w:r>
            <w:proofErr w:type="spellStart"/>
            <w:r w:rsidRPr="003834F6">
              <w:rPr>
                <w:rFonts w:ascii="Times New Roman" w:hAnsi="Times New Roman" w:cs="Times New Roman"/>
                <w:sz w:val="24"/>
              </w:rPr>
              <w:t>хвороб</w:t>
            </w:r>
            <w:proofErr w:type="spellEnd"/>
            <w:r w:rsidRPr="003834F6">
              <w:rPr>
                <w:rFonts w:ascii="Times New Roman" w:hAnsi="Times New Roman" w:cs="Times New Roman"/>
                <w:sz w:val="24"/>
              </w:rPr>
              <w:t xml:space="preserve"> дрібних домашніх і екзотичних тварин</w:t>
            </w:r>
          </w:p>
        </w:tc>
        <w:tc>
          <w:tcPr>
            <w:tcW w:w="1296" w:type="dxa"/>
            <w:vAlign w:val="center"/>
          </w:tcPr>
          <w:p w14:paraId="64BF8674" w14:textId="12483BB0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977" w:type="dxa"/>
            <w:vAlign w:val="center"/>
          </w:tcPr>
          <w:p w14:paraId="2D2D3954" w14:textId="77777777" w:rsidR="008C0617" w:rsidRDefault="003834F6" w:rsidP="008C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>закономірності формування</w:t>
            </w:r>
            <w:r w:rsidR="008C0617"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 імунітету чи р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>езистентності до інфекції у тва</w:t>
            </w:r>
            <w:r w:rsidR="008C0617" w:rsidRPr="008C0617">
              <w:rPr>
                <w:rFonts w:ascii="Times New Roman" w:hAnsi="Times New Roman" w:cs="Times New Roman"/>
                <w:sz w:val="20"/>
                <w:szCs w:val="20"/>
              </w:rPr>
              <w:t>рин; програми профілак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>тики та боротьби, включаючи вак</w:t>
            </w:r>
            <w:r w:rsidR="008C0617"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цинацію. </w:t>
            </w:r>
          </w:p>
          <w:p w14:paraId="2C538173" w14:textId="3AFD1C84" w:rsidR="003834F6" w:rsidRPr="0030384D" w:rsidRDefault="003834F6" w:rsidP="008C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 xml:space="preserve">скласти схему 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специфічної профілактики проти інфекційних </w:t>
            </w:r>
            <w:proofErr w:type="spellStart"/>
            <w:r w:rsidR="008C0617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8C0617">
              <w:rPr>
                <w:rFonts w:ascii="Times New Roman" w:hAnsi="Times New Roman" w:cs="Times New Roman"/>
                <w:sz w:val="20"/>
                <w:szCs w:val="20"/>
              </w:rPr>
              <w:t xml:space="preserve"> тварин.</w:t>
            </w:r>
          </w:p>
          <w:p w14:paraId="2295FCB7" w14:textId="02CDD33B" w:rsidR="003834F6" w:rsidRPr="0030384D" w:rsidRDefault="003834F6" w:rsidP="008C06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8C0617">
              <w:rPr>
                <w:rFonts w:ascii="Times New Roman" w:hAnsi="Times New Roman" w:cs="Times New Roman"/>
                <w:sz w:val="20"/>
                <w:szCs w:val="20"/>
              </w:rPr>
              <w:t>імунний стан тварин, прогнозувати стійкість до інфекцій.</w:t>
            </w:r>
          </w:p>
        </w:tc>
        <w:tc>
          <w:tcPr>
            <w:tcW w:w="2098" w:type="dxa"/>
            <w:vAlign w:val="center"/>
          </w:tcPr>
          <w:p w14:paraId="6F0CB385" w14:textId="16835D7F" w:rsidR="003834F6" w:rsidRPr="0030384D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лабораторному занятті студент повинен опанувати та набути навиків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відбору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консервування, пакування,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транспортування та зберігання біологічного матеріалу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лабораторних досліджень.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Оформлення супровідних документів</w:t>
            </w:r>
            <w:r w:rsidR="00A31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Знати суть імунологічних реакцій та опанувати засоби і методи </w:t>
            </w:r>
            <w:proofErr w:type="spellStart"/>
            <w:r w:rsidR="00A31AAD">
              <w:rPr>
                <w:rFonts w:ascii="Times New Roman" w:hAnsi="Times New Roman" w:cs="Times New Roman"/>
                <w:bCs/>
                <w:sz w:val="20"/>
                <w:szCs w:val="20"/>
              </w:rPr>
              <w:t>сецифічної</w:t>
            </w:r>
            <w:proofErr w:type="spellEnd"/>
            <w:r w:rsidR="00A31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профілактики інфекційних </w:t>
            </w:r>
            <w:proofErr w:type="spellStart"/>
            <w:r w:rsidR="00A31AAD">
              <w:rPr>
                <w:rFonts w:ascii="Times New Roman" w:hAnsi="Times New Roman" w:cs="Times New Roman"/>
                <w:bCs/>
                <w:sz w:val="20"/>
                <w:szCs w:val="20"/>
              </w:rPr>
              <w:t>хвороб</w:t>
            </w:r>
            <w:proofErr w:type="spellEnd"/>
            <w:r w:rsidR="00A31A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6" w:type="dxa"/>
            <w:vAlign w:val="center"/>
          </w:tcPr>
          <w:p w14:paraId="554FFA9D" w14:textId="4624E947" w:rsidR="003834F6" w:rsidRPr="00A71D92" w:rsidRDefault="003834F6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D1200A" w:rsidRPr="00A71D92" w14:paraId="62970A96" w14:textId="77777777" w:rsidTr="000E1AE2">
        <w:tc>
          <w:tcPr>
            <w:tcW w:w="2943" w:type="dxa"/>
            <w:gridSpan w:val="2"/>
            <w:vAlign w:val="center"/>
          </w:tcPr>
          <w:p w14:paraId="4AD6C894" w14:textId="1635D5CB" w:rsidR="00D1200A" w:rsidRPr="00D1200A" w:rsidRDefault="00D1200A" w:rsidP="00D12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2977" w:type="dxa"/>
            <w:vAlign w:val="center"/>
          </w:tcPr>
          <w:p w14:paraId="2CD9BEBE" w14:textId="77777777" w:rsidR="00D1200A" w:rsidRPr="0030384D" w:rsidRDefault="00D1200A" w:rsidP="000F4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87744DB" w14:textId="00AB23E3" w:rsidR="00D1200A" w:rsidRPr="00CD3F30" w:rsidRDefault="000E1AE2" w:rsidP="00CD3F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1586" w:type="dxa"/>
            <w:vAlign w:val="center"/>
          </w:tcPr>
          <w:p w14:paraId="52996A7C" w14:textId="711F03C7" w:rsidR="00D1200A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544D46" w:rsidRPr="00A71D92" w14:paraId="238F8865" w14:textId="77777777" w:rsidTr="000E1AE2">
        <w:tc>
          <w:tcPr>
            <w:tcW w:w="8018" w:type="dxa"/>
            <w:gridSpan w:val="4"/>
          </w:tcPr>
          <w:p w14:paraId="6BD183BC" w14:textId="77777777" w:rsidR="00544D46" w:rsidRPr="00A71D92" w:rsidRDefault="00544D4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1200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F84EFF" w:rsidRPr="00A71D92" w14:paraId="3927C848" w14:textId="77777777" w:rsidTr="000E1AE2">
        <w:tc>
          <w:tcPr>
            <w:tcW w:w="1647" w:type="dxa"/>
          </w:tcPr>
          <w:p w14:paraId="54703DCB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900A2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DE3796D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14:paraId="037F125F" w14:textId="77777777" w:rsidTr="000E1AE2">
        <w:tc>
          <w:tcPr>
            <w:tcW w:w="8018" w:type="dxa"/>
            <w:gridSpan w:val="4"/>
          </w:tcPr>
          <w:p w14:paraId="463B49BF" w14:textId="77777777"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1200A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B7A01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DB7A01" w:rsidRPr="000E1AE2" w:rsidRDefault="00DB7A01" w:rsidP="00DB7A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D1200A" w:rsidRPr="000E1AE2" w:rsidRDefault="00D1200A" w:rsidP="00D120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D1200A" w:rsidRPr="000E1AE2" w:rsidRDefault="00D1200A" w:rsidP="00DB7A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3CF08993" w14:textId="66C81C38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707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D447A0F" w14:textId="77777777" w:rsidR="00130933" w:rsidRDefault="0030384D" w:rsidP="00463F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  <w:p w14:paraId="49E576A8" w14:textId="04FF3297" w:rsidR="00DD454A" w:rsidRPr="00F04242" w:rsidRDefault="00DD454A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20A4" w14:textId="77777777" w:rsidR="00D510E7" w:rsidRDefault="00D510E7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C729E"/>
    <w:rsid w:val="000E1AE2"/>
    <w:rsid w:val="000F47DD"/>
    <w:rsid w:val="00130933"/>
    <w:rsid w:val="001431F8"/>
    <w:rsid w:val="0020200E"/>
    <w:rsid w:val="00246136"/>
    <w:rsid w:val="002D3FEE"/>
    <w:rsid w:val="0030384D"/>
    <w:rsid w:val="003834F6"/>
    <w:rsid w:val="00463FDC"/>
    <w:rsid w:val="004F48A2"/>
    <w:rsid w:val="00511122"/>
    <w:rsid w:val="00544D46"/>
    <w:rsid w:val="00581698"/>
    <w:rsid w:val="005D323C"/>
    <w:rsid w:val="00654D54"/>
    <w:rsid w:val="006626BC"/>
    <w:rsid w:val="006B6515"/>
    <w:rsid w:val="006D1261"/>
    <w:rsid w:val="00737C1A"/>
    <w:rsid w:val="00756A5E"/>
    <w:rsid w:val="00880706"/>
    <w:rsid w:val="008927AA"/>
    <w:rsid w:val="008C0617"/>
    <w:rsid w:val="00A31AAD"/>
    <w:rsid w:val="00A71D92"/>
    <w:rsid w:val="00A96EF1"/>
    <w:rsid w:val="00AC2983"/>
    <w:rsid w:val="00B0192A"/>
    <w:rsid w:val="00B443C2"/>
    <w:rsid w:val="00B44676"/>
    <w:rsid w:val="00CD3F30"/>
    <w:rsid w:val="00D1200A"/>
    <w:rsid w:val="00D510E7"/>
    <w:rsid w:val="00DB7A01"/>
    <w:rsid w:val="00DD454A"/>
    <w:rsid w:val="00DD7841"/>
    <w:rsid w:val="00DF4939"/>
    <w:rsid w:val="00E37961"/>
    <w:rsid w:val="00EA4DF9"/>
    <w:rsid w:val="00EC07A1"/>
    <w:rsid w:val="00EC6378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и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5143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sandr70@gmail.com</cp:lastModifiedBy>
  <cp:revision>24</cp:revision>
  <cp:lastPrinted>2021-06-08T10:02:00Z</cp:lastPrinted>
  <dcterms:created xsi:type="dcterms:W3CDTF">2020-06-04T09:15:00Z</dcterms:created>
  <dcterms:modified xsi:type="dcterms:W3CDTF">2022-06-09T17:26:00Z</dcterms:modified>
</cp:coreProperties>
</file>