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0D58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07DF4CDA" w14:textId="77777777" w:rsidTr="00A96EF1">
        <w:tc>
          <w:tcPr>
            <w:tcW w:w="2978" w:type="dxa"/>
            <w:vMerge w:val="restart"/>
          </w:tcPr>
          <w:p w14:paraId="068497A7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19E7C4D" wp14:editId="48137CB3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7BA9B5D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61504994" w14:textId="77777777" w:rsidR="004B2229" w:rsidRDefault="004B2229" w:rsidP="004B2229">
            <w:pPr>
              <w:spacing w:line="36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 xml:space="preserve">                   </w:t>
            </w:r>
          </w:p>
          <w:p w14:paraId="3CE71361" w14:textId="091D2B14" w:rsidR="001431F8" w:rsidRPr="00A71D92" w:rsidRDefault="004B2229" w:rsidP="004B22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 xml:space="preserve">                          </w:t>
            </w:r>
            <w:r w:rsidR="005C41D3" w:rsidRPr="004B222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 xml:space="preserve">«Біобезпека і </w:t>
            </w:r>
            <w:proofErr w:type="spellStart"/>
            <w:r w:rsidR="005C41D3" w:rsidRPr="004B222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>біозахист</w:t>
            </w:r>
            <w:proofErr w:type="spellEnd"/>
            <w:r w:rsidR="005C41D3" w:rsidRPr="004B222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>»</w:t>
            </w:r>
          </w:p>
        </w:tc>
      </w:tr>
      <w:tr w:rsidR="001431F8" w:rsidRPr="00A71D92" w14:paraId="062CF5C2" w14:textId="77777777" w:rsidTr="00A96EF1">
        <w:tc>
          <w:tcPr>
            <w:tcW w:w="2978" w:type="dxa"/>
            <w:vMerge/>
          </w:tcPr>
          <w:p w14:paraId="1C940E2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7ECE57E" w14:textId="1E6546FF" w:rsidR="001431F8" w:rsidRPr="00A5348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A5348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01ADBB68" w14:textId="77777777" w:rsidTr="00A96EF1">
        <w:tc>
          <w:tcPr>
            <w:tcW w:w="2978" w:type="dxa"/>
            <w:vMerge/>
          </w:tcPr>
          <w:p w14:paraId="05DCC4EF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17BB3CF" w14:textId="0C9DF07B" w:rsidR="00A96EF1" w:rsidRPr="00A71D92" w:rsidRDefault="00A96EF1" w:rsidP="00D271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15186F" w:rsidRPr="0083191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  <w:r w:rsidR="00D2711E" w:rsidRPr="00D27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«Ветеринарна медицина»</w:t>
            </w:r>
          </w:p>
        </w:tc>
      </w:tr>
      <w:tr w:rsidR="001431F8" w:rsidRPr="00A71D92" w14:paraId="79A36B92" w14:textId="77777777" w:rsidTr="00A96EF1">
        <w:tc>
          <w:tcPr>
            <w:tcW w:w="2978" w:type="dxa"/>
            <w:vMerge/>
          </w:tcPr>
          <w:p w14:paraId="00FB48E5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3283C70" w14:textId="156D447C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131B33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медицина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6CDDAC99" w14:textId="77777777" w:rsidTr="00A96EF1">
        <w:tc>
          <w:tcPr>
            <w:tcW w:w="2978" w:type="dxa"/>
            <w:vMerge/>
          </w:tcPr>
          <w:p w14:paraId="0D62C85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1AC4E4E" w14:textId="0ACF051B" w:rsidR="001431F8" w:rsidRPr="0002642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31B33" w:rsidRPr="00C824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8319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186F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319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1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5186F">
              <w:rPr>
                <w:rFonts w:ascii="Times New Roman" w:hAnsi="Times New Roman" w:cs="Times New Roman"/>
                <w:b/>
                <w:sz w:val="24"/>
                <w:szCs w:val="24"/>
              </w:rPr>
              <w:t>н.р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026428" w:rsidRPr="000264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  <w:p w14:paraId="6A44CF9D" w14:textId="43B90CB7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131B33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</w:tr>
      <w:tr w:rsidR="001431F8" w:rsidRPr="00A71D92" w14:paraId="340781E4" w14:textId="77777777" w:rsidTr="00A96EF1">
        <w:tc>
          <w:tcPr>
            <w:tcW w:w="2978" w:type="dxa"/>
            <w:vMerge/>
          </w:tcPr>
          <w:p w14:paraId="0F335F5F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0DE87AB" w14:textId="2289327A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A53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1431F8" w:rsidRPr="00A71D92" w14:paraId="51BC2C17" w14:textId="77777777" w:rsidTr="00A96EF1">
        <w:tc>
          <w:tcPr>
            <w:tcW w:w="2978" w:type="dxa"/>
            <w:vMerge/>
          </w:tcPr>
          <w:p w14:paraId="1F0EC85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5289A82" w14:textId="1DFAE149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131B33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</w:p>
        </w:tc>
      </w:tr>
      <w:tr w:rsidR="00A96EF1" w:rsidRPr="00A71D92" w14:paraId="42121DF0" w14:textId="77777777" w:rsidTr="00A96EF1">
        <w:tc>
          <w:tcPr>
            <w:tcW w:w="2978" w:type="dxa"/>
          </w:tcPr>
          <w:p w14:paraId="3AF45768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4AC9FD95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039A914E" w14:textId="77777777" w:rsidTr="00A96EF1">
        <w:tc>
          <w:tcPr>
            <w:tcW w:w="2978" w:type="dxa"/>
          </w:tcPr>
          <w:p w14:paraId="4C134DBD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1B9A256D" w14:textId="6E5CE0D5" w:rsidR="001431F8" w:rsidRPr="00C82415" w:rsidRDefault="00C82415" w:rsidP="00C824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Недосєков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Віталій Володимирович</w:t>
            </w:r>
          </w:p>
        </w:tc>
      </w:tr>
      <w:tr w:rsidR="001431F8" w:rsidRPr="00A71D92" w14:paraId="53346999" w14:textId="77777777" w:rsidTr="00A96EF1">
        <w:tc>
          <w:tcPr>
            <w:tcW w:w="2978" w:type="dxa"/>
          </w:tcPr>
          <w:p w14:paraId="5BC5147B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9A9D6AE" w14:textId="3E4705E7" w:rsidR="00131B33" w:rsidRPr="00026428" w:rsidRDefault="00C82415" w:rsidP="00131B33">
            <w:pPr>
              <w:rPr>
                <w:rStyle w:val="a6"/>
                <w:lang w:val="ru-RU"/>
              </w:rPr>
            </w:pP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nedosekov</w:t>
            </w:r>
            <w:proofErr w:type="spellEnd"/>
            <w:r w:rsidRPr="00026428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</w:t>
            </w: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vv</w:t>
            </w:r>
            <w:proofErr w:type="spellEnd"/>
            <w:r w:rsidRPr="00026428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nubip</w:t>
            </w:r>
            <w:proofErr w:type="spellEnd"/>
            <w:r w:rsidRPr="00026428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026428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  <w:r w:rsidRPr="00026428">
              <w:rPr>
                <w:rStyle w:val="a6"/>
                <w:lang w:val="ru-RU"/>
              </w:rPr>
              <w:t xml:space="preserve"> </w:t>
            </w:r>
          </w:p>
          <w:p w14:paraId="17A294D5" w14:textId="104D89BD" w:rsidR="00581698" w:rsidRPr="00026428" w:rsidRDefault="00581698" w:rsidP="00131B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1431F8" w:rsidRPr="00A71D92" w14:paraId="4AC37420" w14:textId="77777777" w:rsidTr="00A96EF1">
        <w:tc>
          <w:tcPr>
            <w:tcW w:w="2978" w:type="dxa"/>
          </w:tcPr>
          <w:p w14:paraId="1CC3F198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241813FC" w14:textId="7F8B6042" w:rsidR="001431F8" w:rsidRPr="00A71D92" w:rsidRDefault="00026428" w:rsidP="005C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/>
          </w:p>
        </w:tc>
      </w:tr>
    </w:tbl>
    <w:p w14:paraId="474AD7B3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E51204" w14:textId="77777777" w:rsidR="00725A13" w:rsidRDefault="00725A13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1D41D355" w14:textId="52CC1240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15053B4D" w14:textId="77777777" w:rsidR="0044377B" w:rsidRDefault="0044377B" w:rsidP="0044377B">
      <w:pPr>
        <w:pStyle w:val="Default"/>
        <w:rPr>
          <w:sz w:val="23"/>
          <w:szCs w:val="23"/>
        </w:rPr>
      </w:pPr>
    </w:p>
    <w:p w14:paraId="40B53956" w14:textId="50E87DEF" w:rsidR="005C41D3" w:rsidRPr="004B2229" w:rsidRDefault="0044377B" w:rsidP="004B22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229">
        <w:rPr>
          <w:rFonts w:ascii="Times New Roman" w:hAnsi="Times New Roman" w:cs="Times New Roman"/>
          <w:sz w:val="28"/>
          <w:szCs w:val="28"/>
        </w:rPr>
        <w:t xml:space="preserve">Дисципліна </w:t>
      </w:r>
      <w:r w:rsidR="005C41D3"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«Біобезпека і </w:t>
      </w:r>
      <w:proofErr w:type="spellStart"/>
      <w:r w:rsidR="005C41D3"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біозахист</w:t>
      </w:r>
      <w:proofErr w:type="spellEnd"/>
      <w:r w:rsidR="005C41D3"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є дисципліною вільного вибору студентів </w:t>
      </w:r>
      <w:r w:rsidR="005C41D3" w:rsidRPr="004B22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5C41D3"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 курсу факультету ветеринарної медицини.  Метою дисципліни «Біобезпека і </w:t>
      </w:r>
      <w:proofErr w:type="spellStart"/>
      <w:r w:rsidR="005C41D3"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біозахист</w:t>
      </w:r>
      <w:proofErr w:type="spellEnd"/>
      <w:r w:rsidR="005C41D3"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є вивчення студентами концепції біологічної безпеки та біологічного захисту з елементами біологічного тероризму. </w:t>
      </w:r>
    </w:p>
    <w:p w14:paraId="03657B74" w14:textId="77777777" w:rsidR="005C41D3" w:rsidRPr="004B2229" w:rsidRDefault="005C41D3" w:rsidP="004B22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Біобезпека в умовах сталого ведення тваринництва є однією з найважливіших складових продовольчої, екологічної та національної безпеки України. Реалізація політики у сфері забезпечення біологічної безпеки повинна здійснюватися шляхом створення системи, яка передбачатиме ідентифікацію, прогнозування, профілактику та протидію існуючим загрозам біологічного походження. </w:t>
      </w:r>
    </w:p>
    <w:p w14:paraId="673DB122" w14:textId="77777777" w:rsidR="005C41D3" w:rsidRPr="004B2229" w:rsidRDefault="005C41D3" w:rsidP="004B2229">
      <w:pPr>
        <w:spacing w:after="0"/>
        <w:ind w:firstLine="677"/>
        <w:jc w:val="both"/>
        <w:rPr>
          <w:rFonts w:ascii="Times New Roman" w:hAnsi="Times New Roman" w:cs="Times New Roman"/>
          <w:sz w:val="28"/>
          <w:szCs w:val="28"/>
        </w:rPr>
      </w:pPr>
      <w:r w:rsidRPr="004B2229">
        <w:rPr>
          <w:rFonts w:ascii="Times New Roman" w:hAnsi="Times New Roman" w:cs="Times New Roman"/>
          <w:sz w:val="28"/>
          <w:szCs w:val="28"/>
        </w:rPr>
        <w:t xml:space="preserve">В умовах глобальної зміни клімату, зростаючого населення та загрози глобальних пандемій та біотероризму, </w:t>
      </w:r>
      <w:proofErr w:type="spellStart"/>
      <w:r w:rsidRPr="004B2229">
        <w:rPr>
          <w:rFonts w:ascii="Times New Roman" w:hAnsi="Times New Roman" w:cs="Times New Roman"/>
          <w:sz w:val="28"/>
          <w:szCs w:val="28"/>
        </w:rPr>
        <w:t>патогени</w:t>
      </w:r>
      <w:proofErr w:type="spellEnd"/>
      <w:r w:rsidRPr="004B2229">
        <w:rPr>
          <w:rFonts w:ascii="Times New Roman" w:hAnsi="Times New Roman" w:cs="Times New Roman"/>
          <w:sz w:val="28"/>
          <w:szCs w:val="28"/>
        </w:rPr>
        <w:t xml:space="preserve"> та хвороби стають все більш важливою загрозою для біобезпеки людей і тварин і, зрештою, глобальної продовольчої безпеки. Цей курс вивчає біологію основних потенційних </w:t>
      </w:r>
      <w:proofErr w:type="spellStart"/>
      <w:r w:rsidRPr="004B2229">
        <w:rPr>
          <w:rFonts w:ascii="Times New Roman" w:hAnsi="Times New Roman" w:cs="Times New Roman"/>
          <w:sz w:val="28"/>
          <w:szCs w:val="28"/>
        </w:rPr>
        <w:t>патогенів</w:t>
      </w:r>
      <w:proofErr w:type="spellEnd"/>
      <w:r w:rsidRPr="004B2229">
        <w:rPr>
          <w:rFonts w:ascii="Times New Roman" w:hAnsi="Times New Roman" w:cs="Times New Roman"/>
          <w:sz w:val="28"/>
          <w:szCs w:val="28"/>
        </w:rPr>
        <w:t xml:space="preserve"> з акцентом на загрозах здоров’ю тварин та людей в </w:t>
      </w:r>
      <w:proofErr w:type="spellStart"/>
      <w:r w:rsidRPr="004B2229">
        <w:rPr>
          <w:rFonts w:ascii="Times New Roman" w:hAnsi="Times New Roman" w:cs="Times New Roman"/>
          <w:sz w:val="28"/>
          <w:szCs w:val="28"/>
        </w:rPr>
        <w:t>Украіїні</w:t>
      </w:r>
      <w:proofErr w:type="spellEnd"/>
      <w:r w:rsidRPr="004B22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DB075B" w14:textId="77777777" w:rsidR="005C41D3" w:rsidRPr="004B2229" w:rsidRDefault="005C41D3" w:rsidP="004B2229">
      <w:pPr>
        <w:pStyle w:val="TableParagraph"/>
        <w:ind w:right="94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Завдання дисципліни: вивчення базових питань, що стосуються біологічної безпеки та захисту. Основою дисципліни є європейський досвід систем біологічної безпеки в промислових підприємствах і країнах. Розуміння системи формування проблеми біологічної безпеки та випадки застосування біологічної зброї. Розгляд використання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патогенів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природнього різноманіття (віруси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Хімера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Ніпах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Ебола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віспи та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ін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А також підготовленість до оцінки кризових ситуацій щодо біобезпеки та менеджменту кризових ситуацій. </w:t>
      </w:r>
    </w:p>
    <w:p w14:paraId="38B60DF8" w14:textId="77777777" w:rsidR="005C41D3" w:rsidRPr="004B2229" w:rsidRDefault="005C41D3" w:rsidP="004B2229">
      <w:pPr>
        <w:pStyle w:val="TableParagraph"/>
        <w:ind w:right="94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Крім того, дисципліна буде вивчати лабораторний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біозахист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оцінку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біоризиків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різних умовах (відбір, передача і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транспорування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біологічних </w:t>
      </w:r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матеріалів, проведення досліджень та утилізація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біоматеріалу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Також буде вивчена технологія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деконтамінації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стемпінг</w:t>
      </w:r>
      <w:proofErr w:type="spellEnd"/>
      <w:r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>-ауту тварин.</w:t>
      </w:r>
    </w:p>
    <w:p w14:paraId="3B42A9C0" w14:textId="7A8BD205" w:rsidR="005C41D3" w:rsidRPr="004B2229" w:rsidRDefault="005C41D3" w:rsidP="004B2229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229">
        <w:rPr>
          <w:rFonts w:ascii="Times New Roman" w:hAnsi="Times New Roman" w:cs="Times New Roman"/>
          <w:sz w:val="28"/>
          <w:szCs w:val="28"/>
        </w:rPr>
        <w:t xml:space="preserve">Дисципліна дозволяє поглибити теоретичну та практичну  підготовку щодо базових </w:t>
      </w:r>
      <w:proofErr w:type="spellStart"/>
      <w:r w:rsidRPr="004B2229">
        <w:rPr>
          <w:rFonts w:ascii="Times New Roman" w:hAnsi="Times New Roman" w:cs="Times New Roman"/>
          <w:sz w:val="28"/>
          <w:szCs w:val="28"/>
        </w:rPr>
        <w:t>патогенів</w:t>
      </w:r>
      <w:proofErr w:type="spellEnd"/>
      <w:r w:rsidRPr="004B2229">
        <w:rPr>
          <w:rFonts w:ascii="Times New Roman" w:hAnsi="Times New Roman" w:cs="Times New Roman"/>
          <w:sz w:val="28"/>
          <w:szCs w:val="28"/>
        </w:rPr>
        <w:t xml:space="preserve">, транскордонних емерджентних </w:t>
      </w:r>
      <w:proofErr w:type="spellStart"/>
      <w:r w:rsidRPr="004B222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4B2229">
        <w:rPr>
          <w:rFonts w:ascii="Times New Roman" w:hAnsi="Times New Roman" w:cs="Times New Roman"/>
          <w:sz w:val="28"/>
          <w:szCs w:val="28"/>
        </w:rPr>
        <w:t xml:space="preserve">, та базових компонентів біологічної безпеки та </w:t>
      </w:r>
      <w:proofErr w:type="spellStart"/>
      <w:r w:rsidRPr="004B2229">
        <w:rPr>
          <w:rFonts w:ascii="Times New Roman" w:hAnsi="Times New Roman" w:cs="Times New Roman"/>
          <w:sz w:val="28"/>
          <w:szCs w:val="28"/>
        </w:rPr>
        <w:t>біозахисту</w:t>
      </w:r>
      <w:proofErr w:type="spellEnd"/>
      <w:r w:rsidRPr="004B2229">
        <w:rPr>
          <w:rFonts w:ascii="Times New Roman" w:hAnsi="Times New Roman" w:cs="Times New Roman"/>
          <w:sz w:val="28"/>
          <w:szCs w:val="28"/>
        </w:rPr>
        <w:t xml:space="preserve">. Під час курсу вивчаються передумови виникнення, трансмісії, ураження та контролю транскордонних емерджентних </w:t>
      </w:r>
      <w:proofErr w:type="spellStart"/>
      <w:r w:rsidRPr="004B222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4B2229">
        <w:rPr>
          <w:rFonts w:ascii="Times New Roman" w:hAnsi="Times New Roman" w:cs="Times New Roman"/>
          <w:sz w:val="28"/>
          <w:szCs w:val="28"/>
        </w:rPr>
        <w:t xml:space="preserve"> на основі оцінки ризику, </w:t>
      </w:r>
      <w:proofErr w:type="spellStart"/>
      <w:r w:rsidRPr="004B2229">
        <w:rPr>
          <w:rFonts w:ascii="Times New Roman" w:hAnsi="Times New Roman" w:cs="Times New Roman"/>
          <w:sz w:val="28"/>
          <w:szCs w:val="28"/>
        </w:rPr>
        <w:t>симуляційних</w:t>
      </w:r>
      <w:proofErr w:type="spellEnd"/>
      <w:r w:rsidRPr="004B2229">
        <w:rPr>
          <w:rFonts w:ascii="Times New Roman" w:hAnsi="Times New Roman" w:cs="Times New Roman"/>
          <w:sz w:val="28"/>
          <w:szCs w:val="28"/>
        </w:rPr>
        <w:t xml:space="preserve"> вправ та прогнозування.</w:t>
      </w:r>
    </w:p>
    <w:p w14:paraId="6DAE9CFF" w14:textId="77777777" w:rsidR="004B2229" w:rsidRPr="005B19E4" w:rsidRDefault="004B2229" w:rsidP="004B2229">
      <w:pPr>
        <w:spacing w:after="0" w:line="240" w:lineRule="auto"/>
        <w:jc w:val="center"/>
        <w:rPr>
          <w:rFonts w:ascii="Times New Roman" w:hAnsi="Times New Roman" w:cs="Times New Roman"/>
          <w:b/>
          <w:color w:val="323E4F"/>
          <w:sz w:val="24"/>
          <w:szCs w:val="24"/>
        </w:rPr>
      </w:pPr>
      <w:r w:rsidRPr="005B19E4">
        <w:rPr>
          <w:rFonts w:ascii="Times New Roman" w:hAnsi="Times New Roman" w:cs="Times New Roman"/>
          <w:b/>
          <w:color w:val="323E4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3"/>
        <w:gridCol w:w="1922"/>
        <w:gridCol w:w="1887"/>
        <w:gridCol w:w="2077"/>
        <w:gridCol w:w="1586"/>
      </w:tblGrid>
      <w:tr w:rsidR="004B2229" w:rsidRPr="00A71D92" w14:paraId="6A8C6E04" w14:textId="77777777" w:rsidTr="004B2229">
        <w:tc>
          <w:tcPr>
            <w:tcW w:w="1855" w:type="dxa"/>
            <w:vAlign w:val="center"/>
          </w:tcPr>
          <w:p w14:paraId="5EC9C983" w14:textId="77777777" w:rsidR="004B2229" w:rsidRPr="00A71D92" w:rsidRDefault="004B2229" w:rsidP="00F24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04" w:type="dxa"/>
            <w:vAlign w:val="center"/>
          </w:tcPr>
          <w:p w14:paraId="7E448F90" w14:textId="77777777" w:rsidR="004B2229" w:rsidRPr="00A71D92" w:rsidRDefault="004B2229" w:rsidP="00F24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27447383" w14:textId="77777777" w:rsidR="004B2229" w:rsidRPr="00F82151" w:rsidRDefault="004B2229" w:rsidP="00F2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1877" w:type="dxa"/>
            <w:vAlign w:val="center"/>
          </w:tcPr>
          <w:p w14:paraId="08102729" w14:textId="77777777" w:rsidR="004B2229" w:rsidRPr="00A71D92" w:rsidRDefault="004B2229" w:rsidP="00F24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581" w:type="dxa"/>
            <w:vAlign w:val="center"/>
          </w:tcPr>
          <w:p w14:paraId="6EBAF6B4" w14:textId="77777777" w:rsidR="004B2229" w:rsidRPr="00A71D92" w:rsidRDefault="004B2229" w:rsidP="00F24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128" w:type="dxa"/>
            <w:vAlign w:val="center"/>
          </w:tcPr>
          <w:p w14:paraId="15975B0B" w14:textId="77777777" w:rsidR="004B2229" w:rsidRPr="00A71D92" w:rsidRDefault="004B2229" w:rsidP="00F24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4B2229" w:rsidRPr="00A71D92" w14:paraId="56D584C9" w14:textId="77777777" w:rsidTr="004B2229">
        <w:tc>
          <w:tcPr>
            <w:tcW w:w="9345" w:type="dxa"/>
            <w:gridSpan w:val="5"/>
          </w:tcPr>
          <w:p w14:paraId="2865720F" w14:textId="77777777" w:rsidR="004B2229" w:rsidRPr="00A71D92" w:rsidRDefault="004B2229" w:rsidP="00F24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4B2229" w:rsidRPr="00A71D92" w14:paraId="291C89CA" w14:textId="77777777" w:rsidTr="004B2229">
        <w:tc>
          <w:tcPr>
            <w:tcW w:w="9345" w:type="dxa"/>
            <w:gridSpan w:val="5"/>
          </w:tcPr>
          <w:p w14:paraId="5853FCF8" w14:textId="77777777" w:rsidR="004B2229" w:rsidRPr="005B19E4" w:rsidRDefault="004B2229" w:rsidP="00F246A7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C53">
              <w:rPr>
                <w:rStyle w:val="2"/>
                <w:rFonts w:eastAsiaTheme="minorHAnsi"/>
              </w:rPr>
              <w:t xml:space="preserve">Змістовий модуль 1. </w:t>
            </w:r>
            <w:r w:rsidRPr="003E4C53">
              <w:rPr>
                <w:rStyle w:val="tlid-translation"/>
                <w:b/>
                <w:szCs w:val="28"/>
              </w:rPr>
              <w:t>Біобезпека</w:t>
            </w:r>
          </w:p>
        </w:tc>
      </w:tr>
      <w:tr w:rsidR="004B2229" w:rsidRPr="00A71D92" w14:paraId="43CBB977" w14:textId="77777777" w:rsidTr="004B2229">
        <w:tc>
          <w:tcPr>
            <w:tcW w:w="1855" w:type="dxa"/>
          </w:tcPr>
          <w:p w14:paraId="46DEE01A" w14:textId="77777777" w:rsidR="004B2229" w:rsidRPr="00026428" w:rsidRDefault="004B2229" w:rsidP="00F246A7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Принципи та компоненти  біобезпеки </w:t>
            </w:r>
          </w:p>
        </w:tc>
        <w:tc>
          <w:tcPr>
            <w:tcW w:w="1904" w:type="dxa"/>
          </w:tcPr>
          <w:p w14:paraId="6F48177D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2/</w:t>
            </w:r>
            <w:r w:rsidRPr="00026428"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877" w:type="dxa"/>
          </w:tcPr>
          <w:p w14:paraId="3BBA12A4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Знати </w:t>
            </w:r>
            <w:r w:rsidRPr="00026428"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ринципи та компоненти  біобезпеки</w:t>
            </w:r>
          </w:p>
          <w:p w14:paraId="6C69FDB5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1" w:type="dxa"/>
          </w:tcPr>
          <w:p w14:paraId="39370AAE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Студент повинен представити базові принципи біобезпеки та навести приклади в тваринництві </w:t>
            </w:r>
          </w:p>
        </w:tc>
        <w:tc>
          <w:tcPr>
            <w:tcW w:w="1128" w:type="dxa"/>
          </w:tcPr>
          <w:p w14:paraId="0FA18DDB" w14:textId="77777777" w:rsidR="004B2229" w:rsidRPr="00A71D92" w:rsidRDefault="004B2229" w:rsidP="00F24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229" w:rsidRPr="00A71D92" w14:paraId="67DB1DC7" w14:textId="77777777" w:rsidTr="004B2229">
        <w:tc>
          <w:tcPr>
            <w:tcW w:w="1855" w:type="dxa"/>
          </w:tcPr>
          <w:p w14:paraId="7996D8D4" w14:textId="77777777" w:rsidR="004B2229" w:rsidRPr="00026428" w:rsidRDefault="004B2229" w:rsidP="00F246A7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Тема 2.  Транскордонні хвороби тварин: шляхи занесення та попередження поширення</w:t>
            </w:r>
          </w:p>
        </w:tc>
        <w:tc>
          <w:tcPr>
            <w:tcW w:w="1904" w:type="dxa"/>
          </w:tcPr>
          <w:p w14:paraId="2B092B9D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2/</w:t>
            </w:r>
            <w:r w:rsidRPr="00026428"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877" w:type="dxa"/>
          </w:tcPr>
          <w:p w14:paraId="19DADD69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Знати </w:t>
            </w:r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характеристику транскордонних інфекцій. Методи профілактики і захист території держави від занесення збудників екзотичних інфекційних захворювань.</w:t>
            </w:r>
          </w:p>
        </w:tc>
        <w:tc>
          <w:tcPr>
            <w:tcW w:w="2581" w:type="dxa"/>
          </w:tcPr>
          <w:p w14:paraId="7C6CC189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Студент повинен представити шляхи поширення </w:t>
            </w:r>
            <w:r w:rsidRPr="00026428">
              <w:rPr>
                <w:rFonts w:ascii="Times New Roman" w:hAnsi="Times New Roman" w:cs="Times New Roman"/>
                <w:sz w:val="24"/>
                <w:szCs w:val="24"/>
              </w:rPr>
              <w:t xml:space="preserve">транскордонних інфекційних </w:t>
            </w:r>
            <w:proofErr w:type="spellStart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 xml:space="preserve"> (на прикладі АЧС. Ящуру, та </w:t>
            </w:r>
            <w:proofErr w:type="spellStart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28" w:type="dxa"/>
          </w:tcPr>
          <w:p w14:paraId="73498E0A" w14:textId="77777777" w:rsidR="004B2229" w:rsidRPr="00A71D92" w:rsidRDefault="004B2229" w:rsidP="00F246A7">
            <w:pPr>
              <w:jc w:val="center"/>
              <w:rPr>
                <w:b/>
                <w:sz w:val="24"/>
              </w:rPr>
            </w:pPr>
          </w:p>
        </w:tc>
      </w:tr>
      <w:tr w:rsidR="004B2229" w:rsidRPr="00A71D92" w14:paraId="7C2CE393" w14:textId="77777777" w:rsidTr="004B2229">
        <w:tc>
          <w:tcPr>
            <w:tcW w:w="1855" w:type="dxa"/>
          </w:tcPr>
          <w:p w14:paraId="5C1236C7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Аналіз та управління ризиками поширення  </w:t>
            </w:r>
            <w:proofErr w:type="spellStart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хвороб</w:t>
            </w:r>
            <w:proofErr w:type="spellEnd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біобезпеки</w:t>
            </w:r>
          </w:p>
          <w:p w14:paraId="41CC682E" w14:textId="77777777" w:rsidR="004B2229" w:rsidRPr="00026428" w:rsidRDefault="004B2229" w:rsidP="00F246A7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4" w:type="dxa"/>
          </w:tcPr>
          <w:p w14:paraId="59C5782A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2/</w:t>
            </w:r>
            <w:r w:rsidRPr="00026428"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877" w:type="dxa"/>
          </w:tcPr>
          <w:p w14:paraId="079FB9BB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Розуміти базові компоненти аналізу ризиків (ідентифікація загрози, оцінка, управління і комунікація ризику).</w:t>
            </w:r>
          </w:p>
        </w:tc>
        <w:tc>
          <w:tcPr>
            <w:tcW w:w="2581" w:type="dxa"/>
          </w:tcPr>
          <w:p w14:paraId="15A4DF94" w14:textId="77777777" w:rsidR="004B2229" w:rsidRPr="00026428" w:rsidRDefault="004B2229" w:rsidP="00F246A7">
            <w:pPr>
              <w:ind w:firstLine="2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4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Провести </w:t>
            </w:r>
            <w:proofErr w:type="spellStart"/>
            <w:r w:rsidRPr="000264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симулійційні</w:t>
            </w:r>
            <w:proofErr w:type="spellEnd"/>
            <w:r w:rsidRPr="000264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вправи оцінки ризику поширення сказу у а) домашніх та б) диких тварин на рівні країни, континенту.</w:t>
            </w:r>
          </w:p>
          <w:p w14:paraId="7121DD6C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3B385BF7" w14:textId="77777777" w:rsidR="004B2229" w:rsidRPr="00A71D92" w:rsidRDefault="004B2229" w:rsidP="00F246A7">
            <w:pPr>
              <w:jc w:val="center"/>
              <w:rPr>
                <w:b/>
                <w:sz w:val="24"/>
              </w:rPr>
            </w:pPr>
          </w:p>
        </w:tc>
      </w:tr>
      <w:tr w:rsidR="004B2229" w:rsidRPr="00A71D92" w14:paraId="67CE5EB4" w14:textId="77777777" w:rsidTr="004B2229">
        <w:tc>
          <w:tcPr>
            <w:tcW w:w="1855" w:type="dxa"/>
          </w:tcPr>
          <w:p w14:paraId="61237E3A" w14:textId="77777777" w:rsidR="004B2229" w:rsidRPr="00026428" w:rsidRDefault="004B2229" w:rsidP="00F246A7">
            <w:pPr>
              <w:ind w:right="1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Стратегії і тактики контролю інфекційних </w:t>
            </w:r>
            <w:proofErr w:type="spellStart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хвороб</w:t>
            </w:r>
            <w:proofErr w:type="spellEnd"/>
          </w:p>
        </w:tc>
        <w:tc>
          <w:tcPr>
            <w:tcW w:w="1904" w:type="dxa"/>
          </w:tcPr>
          <w:p w14:paraId="29AE72C7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2/</w:t>
            </w:r>
            <w:r w:rsidRPr="00026428"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877" w:type="dxa"/>
          </w:tcPr>
          <w:p w14:paraId="247611DD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Знати </w:t>
            </w:r>
            <w:r w:rsidRPr="00026428">
              <w:rPr>
                <w:rFonts w:ascii="Times New Roman" w:hAnsi="Times New Roman" w:cs="Times New Roman"/>
                <w:sz w:val="24"/>
                <w:szCs w:val="24"/>
              </w:rPr>
              <w:t xml:space="preserve">класифікацію заразних </w:t>
            </w:r>
            <w:proofErr w:type="spellStart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 xml:space="preserve"> тварин за МЕБ,</w:t>
            </w: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систему контролю інфекційних </w:t>
            </w:r>
            <w:proofErr w:type="spellStart"/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хвороб</w:t>
            </w:r>
            <w:proofErr w:type="spellEnd"/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60980F65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Представити критичні моменти </w:t>
            </w:r>
            <w:proofErr w:type="spellStart"/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стемпінг</w:t>
            </w:r>
            <w:proofErr w:type="spellEnd"/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ауту, систем вакцинації та </w:t>
            </w:r>
            <w:proofErr w:type="spellStart"/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деконтамінації</w:t>
            </w:r>
            <w:proofErr w:type="spellEnd"/>
          </w:p>
        </w:tc>
        <w:tc>
          <w:tcPr>
            <w:tcW w:w="1128" w:type="dxa"/>
          </w:tcPr>
          <w:p w14:paraId="449373CD" w14:textId="77777777" w:rsidR="004B2229" w:rsidRPr="00A71D92" w:rsidRDefault="004B2229" w:rsidP="00F246A7">
            <w:pPr>
              <w:jc w:val="center"/>
              <w:rPr>
                <w:b/>
                <w:sz w:val="24"/>
              </w:rPr>
            </w:pPr>
          </w:p>
        </w:tc>
      </w:tr>
      <w:tr w:rsidR="004B2229" w:rsidRPr="00A71D92" w14:paraId="654684D0" w14:textId="77777777" w:rsidTr="004B2229">
        <w:tc>
          <w:tcPr>
            <w:tcW w:w="9345" w:type="dxa"/>
            <w:gridSpan w:val="5"/>
          </w:tcPr>
          <w:p w14:paraId="73141A6C" w14:textId="77777777" w:rsidR="004B2229" w:rsidRPr="00026428" w:rsidRDefault="004B2229" w:rsidP="00F24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Змістовий модуль 2.</w:t>
            </w:r>
            <w:r w:rsidRPr="00026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6428">
              <w:rPr>
                <w:rFonts w:ascii="Times New Roman" w:hAnsi="Times New Roman" w:cs="Times New Roman"/>
                <w:b/>
                <w:sz w:val="24"/>
                <w:szCs w:val="24"/>
              </w:rPr>
              <w:t>Біозахист</w:t>
            </w:r>
            <w:proofErr w:type="spellEnd"/>
          </w:p>
        </w:tc>
      </w:tr>
      <w:tr w:rsidR="004B2229" w:rsidRPr="00A71D92" w14:paraId="31835417" w14:textId="77777777" w:rsidTr="004B2229">
        <w:tc>
          <w:tcPr>
            <w:tcW w:w="1855" w:type="dxa"/>
          </w:tcPr>
          <w:p w14:paraId="5D6208D6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Біотероризм: національна і глобальна загрози. Управління </w:t>
            </w:r>
            <w:proofErr w:type="spellStart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біоризиками</w:t>
            </w:r>
            <w:proofErr w:type="spellEnd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14:paraId="14F9DB74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2/</w:t>
            </w:r>
            <w:r w:rsidRPr="00026428"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877" w:type="dxa"/>
          </w:tcPr>
          <w:p w14:paraId="50649F39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sz w:val="24"/>
                <w:szCs w:val="24"/>
              </w:rPr>
              <w:t xml:space="preserve">Знати принципи національної безпеки. Розуміти поняття про </w:t>
            </w:r>
            <w:proofErr w:type="spellStart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біоризики</w:t>
            </w:r>
            <w:proofErr w:type="spellEnd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біозахист</w:t>
            </w:r>
            <w:proofErr w:type="spellEnd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 xml:space="preserve"> та оцінка </w:t>
            </w:r>
            <w:proofErr w:type="spellStart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біоризику</w:t>
            </w:r>
            <w:proofErr w:type="spellEnd"/>
          </w:p>
        </w:tc>
        <w:tc>
          <w:tcPr>
            <w:tcW w:w="2581" w:type="dxa"/>
          </w:tcPr>
          <w:p w14:paraId="3F3D1C62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Представити модель </w:t>
            </w:r>
            <w:proofErr w:type="spellStart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реагуваття</w:t>
            </w:r>
            <w:proofErr w:type="spellEnd"/>
            <w:r w:rsidRPr="00026428">
              <w:rPr>
                <w:rFonts w:ascii="Times New Roman" w:hAnsi="Times New Roman" w:cs="Times New Roman"/>
                <w:sz w:val="24"/>
                <w:szCs w:val="24"/>
              </w:rPr>
              <w:t xml:space="preserve"> щодо застосування біологічної зброї.</w:t>
            </w:r>
          </w:p>
        </w:tc>
        <w:tc>
          <w:tcPr>
            <w:tcW w:w="1128" w:type="dxa"/>
          </w:tcPr>
          <w:p w14:paraId="2676AACD" w14:textId="77777777" w:rsidR="004B2229" w:rsidRPr="00A71D92" w:rsidRDefault="004B2229" w:rsidP="00F246A7">
            <w:pPr>
              <w:jc w:val="center"/>
              <w:rPr>
                <w:b/>
                <w:sz w:val="24"/>
              </w:rPr>
            </w:pPr>
          </w:p>
        </w:tc>
      </w:tr>
      <w:tr w:rsidR="004B2229" w:rsidRPr="00A71D92" w14:paraId="52790398" w14:textId="77777777" w:rsidTr="004B2229">
        <w:tc>
          <w:tcPr>
            <w:tcW w:w="1855" w:type="dxa"/>
          </w:tcPr>
          <w:p w14:paraId="163DB320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 </w:t>
            </w:r>
            <w:proofErr w:type="spellStart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Біозахист</w:t>
            </w:r>
            <w:proofErr w:type="spellEnd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лабораторії та оцінка ризику.</w:t>
            </w:r>
          </w:p>
        </w:tc>
        <w:tc>
          <w:tcPr>
            <w:tcW w:w="1904" w:type="dxa"/>
          </w:tcPr>
          <w:p w14:paraId="580D9203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2/</w:t>
            </w:r>
            <w:r w:rsidRPr="00026428"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877" w:type="dxa"/>
          </w:tcPr>
          <w:p w14:paraId="1BA7708F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Знати підходи контролю «</w:t>
            </w:r>
            <w:proofErr w:type="spellStart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Вибросу</w:t>
            </w:r>
            <w:proofErr w:type="spellEnd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патогенів</w:t>
            </w:r>
            <w:proofErr w:type="spellEnd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» з лабораторії. Систему персонального захисту</w:t>
            </w:r>
          </w:p>
        </w:tc>
        <w:tc>
          <w:tcPr>
            <w:tcW w:w="2581" w:type="dxa"/>
          </w:tcPr>
          <w:p w14:paraId="0195CDE8" w14:textId="77777777" w:rsidR="004B2229" w:rsidRPr="00026428" w:rsidRDefault="004B2229" w:rsidP="00F246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Представити комплексну п</w:t>
            </w:r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ідготовленість лабораторій та реагування  на емерджентні ситуації (на прикладі області)</w:t>
            </w:r>
          </w:p>
        </w:tc>
        <w:tc>
          <w:tcPr>
            <w:tcW w:w="1128" w:type="dxa"/>
          </w:tcPr>
          <w:p w14:paraId="6B08FA58" w14:textId="77777777" w:rsidR="004B2229" w:rsidRPr="00A71D92" w:rsidRDefault="004B2229" w:rsidP="00F246A7">
            <w:pPr>
              <w:jc w:val="center"/>
              <w:rPr>
                <w:b/>
                <w:sz w:val="24"/>
              </w:rPr>
            </w:pPr>
          </w:p>
        </w:tc>
      </w:tr>
      <w:tr w:rsidR="004B2229" w:rsidRPr="00A71D92" w14:paraId="6C528111" w14:textId="77777777" w:rsidTr="004B2229">
        <w:tc>
          <w:tcPr>
            <w:tcW w:w="1855" w:type="dxa"/>
          </w:tcPr>
          <w:p w14:paraId="078BCCBE" w14:textId="77777777" w:rsidR="004B2229" w:rsidRPr="00026428" w:rsidRDefault="004B2229" w:rsidP="000264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 Засоби </w:t>
            </w:r>
            <w:proofErr w:type="spellStart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біозахисту</w:t>
            </w:r>
            <w:proofErr w:type="spellEnd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14:paraId="193A456E" w14:textId="77777777" w:rsidR="004B2229" w:rsidRPr="00026428" w:rsidRDefault="004B2229" w:rsidP="000264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2/</w:t>
            </w:r>
            <w:r w:rsidRPr="00026428"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877" w:type="dxa"/>
          </w:tcPr>
          <w:p w14:paraId="6B864D79" w14:textId="77777777" w:rsidR="004B2229" w:rsidRPr="00026428" w:rsidRDefault="004B2229" w:rsidP="000264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Знати принципи роботи з біологічними небезпеками в лабораторії. Обізнаність щодо біологічні індивідуального захисту (ЗІЗ), інженерні засоби контролю та реагування на надзвичайні ситуації.</w:t>
            </w:r>
          </w:p>
        </w:tc>
        <w:tc>
          <w:tcPr>
            <w:tcW w:w="2581" w:type="dxa"/>
          </w:tcPr>
          <w:p w14:paraId="1A5703DC" w14:textId="77777777" w:rsidR="004B2229" w:rsidRPr="00026428" w:rsidRDefault="004B2229" w:rsidP="000264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Провести </w:t>
            </w:r>
            <w:r w:rsidRPr="00026428">
              <w:rPr>
                <w:rFonts w:ascii="Times New Roman" w:hAnsi="Times New Roman" w:cs="Times New Roman"/>
                <w:sz w:val="24"/>
                <w:szCs w:val="24"/>
              </w:rPr>
              <w:t>оцінку ризиків та основні принципи роботи з управління ризиками, включаючи робочі методи, засоби (на різних рівнях)</w:t>
            </w:r>
          </w:p>
        </w:tc>
        <w:tc>
          <w:tcPr>
            <w:tcW w:w="1128" w:type="dxa"/>
          </w:tcPr>
          <w:p w14:paraId="173BCDCA" w14:textId="77777777" w:rsidR="004B2229" w:rsidRPr="00A71D92" w:rsidRDefault="004B2229" w:rsidP="00F246A7">
            <w:pPr>
              <w:jc w:val="center"/>
              <w:rPr>
                <w:b/>
                <w:sz w:val="24"/>
              </w:rPr>
            </w:pPr>
          </w:p>
        </w:tc>
      </w:tr>
      <w:tr w:rsidR="004B2229" w:rsidRPr="00A71D92" w14:paraId="25AACAC0" w14:textId="77777777" w:rsidTr="004B2229">
        <w:tc>
          <w:tcPr>
            <w:tcW w:w="1855" w:type="dxa"/>
          </w:tcPr>
          <w:p w14:paraId="342E5C57" w14:textId="77777777" w:rsidR="004B2229" w:rsidRPr="00026428" w:rsidRDefault="004B2229" w:rsidP="000264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Системи біологічної безпеки та </w:t>
            </w:r>
            <w:proofErr w:type="spellStart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>біозахисту</w:t>
            </w:r>
            <w:proofErr w:type="spellEnd"/>
            <w:r w:rsidRPr="0002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тваринницьких об’єктах.</w:t>
            </w:r>
          </w:p>
          <w:p w14:paraId="7199567C" w14:textId="77777777" w:rsidR="004B2229" w:rsidRPr="00026428" w:rsidRDefault="004B2229" w:rsidP="00026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4" w:type="dxa"/>
          </w:tcPr>
          <w:p w14:paraId="2297CDEE" w14:textId="77777777" w:rsidR="004B2229" w:rsidRPr="00026428" w:rsidRDefault="004B2229" w:rsidP="000264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hAnsi="Times New Roman" w:cs="Times New Roman"/>
                <w:iCs/>
                <w:sz w:val="24"/>
                <w:szCs w:val="24"/>
              </w:rPr>
              <w:t>2/</w:t>
            </w:r>
            <w:r w:rsidRPr="00026428"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877" w:type="dxa"/>
          </w:tcPr>
          <w:p w14:paraId="34C3F91B" w14:textId="77777777" w:rsidR="004B2229" w:rsidRPr="00026428" w:rsidRDefault="004B2229" w:rsidP="000264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Знати принципи захисту тварин від інфекційних </w:t>
            </w:r>
            <w:proofErr w:type="spellStart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хвороб</w:t>
            </w:r>
            <w:proofErr w:type="spellEnd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Систему оцінки біобезпеки за методом </w:t>
            </w:r>
            <w:proofErr w:type="spellStart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Делфі</w:t>
            </w:r>
            <w:proofErr w:type="spellEnd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Критичні </w:t>
            </w:r>
            <w:proofErr w:type="spellStart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точкі</w:t>
            </w:r>
            <w:proofErr w:type="spellEnd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оцінки.</w:t>
            </w:r>
          </w:p>
        </w:tc>
        <w:tc>
          <w:tcPr>
            <w:tcW w:w="2581" w:type="dxa"/>
          </w:tcPr>
          <w:p w14:paraId="5D384BE3" w14:textId="77777777" w:rsidR="004B2229" w:rsidRPr="00026428" w:rsidRDefault="004B2229" w:rsidP="000264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Представити симуляцію емерджентного випадка на основі </w:t>
            </w:r>
            <w:proofErr w:type="spellStart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елісітації</w:t>
            </w:r>
            <w:proofErr w:type="spellEnd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розробити рекомендації щодо впровадження заходів </w:t>
            </w:r>
            <w:proofErr w:type="spellStart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біозахисту</w:t>
            </w:r>
            <w:proofErr w:type="spellEnd"/>
            <w:r w:rsidRPr="000264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14:paraId="53C41D74" w14:textId="77777777" w:rsidR="004B2229" w:rsidRPr="00A71D92" w:rsidRDefault="004B2229" w:rsidP="00F246A7">
            <w:pPr>
              <w:jc w:val="center"/>
              <w:rPr>
                <w:b/>
                <w:sz w:val="24"/>
              </w:rPr>
            </w:pPr>
          </w:p>
        </w:tc>
      </w:tr>
      <w:tr w:rsidR="004B2229" w:rsidRPr="00A71D92" w14:paraId="5BEF4242" w14:textId="77777777" w:rsidTr="004B2229">
        <w:tc>
          <w:tcPr>
            <w:tcW w:w="8217" w:type="dxa"/>
            <w:gridSpan w:val="4"/>
          </w:tcPr>
          <w:p w14:paraId="569DEBB6" w14:textId="7B896944" w:rsidR="004B2229" w:rsidRPr="00C51500" w:rsidRDefault="004B2229" w:rsidP="00026428">
            <w:pPr>
              <w:ind w:left="36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 w:rsidR="000264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128" w:type="dxa"/>
          </w:tcPr>
          <w:p w14:paraId="03688627" w14:textId="3BFC5D65" w:rsidR="004B2229" w:rsidRPr="00A71D92" w:rsidRDefault="004B2229" w:rsidP="004B2229">
            <w:pPr>
              <w:jc w:val="center"/>
              <w:rPr>
                <w:b/>
                <w:sz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4B2229" w:rsidRPr="00A71D92" w14:paraId="20FD5EB0" w14:textId="77777777" w:rsidTr="004B2229">
        <w:tc>
          <w:tcPr>
            <w:tcW w:w="1855" w:type="dxa"/>
          </w:tcPr>
          <w:p w14:paraId="3E110B1F" w14:textId="6B672A0A" w:rsidR="004B2229" w:rsidRPr="00C51500" w:rsidRDefault="00026428" w:rsidP="004B22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="004B2229" w:rsidRPr="004B222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904" w:type="dxa"/>
          </w:tcPr>
          <w:p w14:paraId="2EE48119" w14:textId="77777777" w:rsidR="004B2229" w:rsidRPr="00C51500" w:rsidRDefault="004B2229" w:rsidP="004B22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77" w:type="dxa"/>
          </w:tcPr>
          <w:p w14:paraId="0F3977F3" w14:textId="77777777" w:rsidR="004B2229" w:rsidRPr="00C51500" w:rsidRDefault="004B2229" w:rsidP="004B2229">
            <w:pPr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ABB4CEB" w14:textId="77777777" w:rsidR="004B2229" w:rsidRPr="00C51500" w:rsidRDefault="004B2229" w:rsidP="004B2229">
            <w:pPr>
              <w:ind w:left="36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E828A37" w14:textId="017D6358" w:rsidR="004B2229" w:rsidRPr="00A71D92" w:rsidRDefault="004B2229" w:rsidP="004B22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744B39" w:rsidRPr="00A71D92" w14:paraId="27AA0946" w14:textId="77777777" w:rsidTr="004B2229">
        <w:tc>
          <w:tcPr>
            <w:tcW w:w="8217" w:type="dxa"/>
            <w:gridSpan w:val="4"/>
          </w:tcPr>
          <w:p w14:paraId="5F799407" w14:textId="77777777" w:rsidR="00744B39" w:rsidRPr="00A71D92" w:rsidRDefault="00744B39" w:rsidP="00744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128" w:type="dxa"/>
          </w:tcPr>
          <w:p w14:paraId="5630C2B2" w14:textId="77777777" w:rsidR="00744B39" w:rsidRPr="00A71D92" w:rsidRDefault="00744B39" w:rsidP="00744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81B945E" w14:textId="77777777"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7ADD7" w14:textId="77777777" w:rsidR="00130933" w:rsidRPr="000C2B5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0C2B59">
        <w:rPr>
          <w:rFonts w:ascii="Times New Roman" w:hAnsi="Times New Roman" w:cs="Times New Roman"/>
          <w:b/>
          <w:color w:val="17365D" w:themeColor="text2" w:themeShade="BF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14:paraId="48B40EFE" w14:textId="77777777" w:rsidTr="00130933">
        <w:tc>
          <w:tcPr>
            <w:tcW w:w="2660" w:type="dxa"/>
          </w:tcPr>
          <w:p w14:paraId="58750D30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7B56B6E9" w14:textId="77777777"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6D502364" w14:textId="77777777" w:rsidTr="00130933">
        <w:tc>
          <w:tcPr>
            <w:tcW w:w="2660" w:type="dxa"/>
          </w:tcPr>
          <w:p w14:paraId="3EAFF3F9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C2E0A5B" w14:textId="77777777" w:rsidR="00130933" w:rsidRPr="00A71D9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14:paraId="652B6064" w14:textId="77777777" w:rsidTr="00130933">
        <w:tc>
          <w:tcPr>
            <w:tcW w:w="2660" w:type="dxa"/>
          </w:tcPr>
          <w:p w14:paraId="366AA778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65C1201" w14:textId="77777777"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C1DC6BA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4BD78" w14:textId="77777777" w:rsidR="00130933" w:rsidRPr="000C2B5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0C2B59">
        <w:rPr>
          <w:rFonts w:ascii="Times New Roman" w:hAnsi="Times New Roman" w:cs="Times New Roman"/>
          <w:b/>
          <w:color w:val="17365D" w:themeColor="text2" w:themeShade="BF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3902"/>
        <w:gridCol w:w="3114"/>
      </w:tblGrid>
      <w:tr w:rsidR="00A71D92" w:rsidRPr="000C2B59" w14:paraId="6329D101" w14:textId="77777777" w:rsidTr="00131B33">
        <w:tc>
          <w:tcPr>
            <w:tcW w:w="2376" w:type="dxa"/>
            <w:vMerge w:val="restart"/>
          </w:tcPr>
          <w:p w14:paraId="0B659F41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B59">
              <w:rPr>
                <w:rFonts w:ascii="Times New Roman" w:hAnsi="Times New Roman" w:cs="Times New Roman"/>
                <w:b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549B416D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B59">
              <w:rPr>
                <w:rFonts w:ascii="Times New Roman" w:hAnsi="Times New Roman" w:cs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A71D92" w:rsidRPr="000C2B59" w14:paraId="410897A5" w14:textId="77777777" w:rsidTr="00A71D92">
        <w:tc>
          <w:tcPr>
            <w:tcW w:w="2376" w:type="dxa"/>
            <w:vMerge/>
          </w:tcPr>
          <w:p w14:paraId="56440E78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4" w:type="dxa"/>
          </w:tcPr>
          <w:p w14:paraId="0BEBFC25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B59">
              <w:rPr>
                <w:rFonts w:ascii="Times New Roman" w:hAnsi="Times New Roman" w:cs="Times New Roman"/>
                <w:b/>
              </w:rPr>
              <w:t>е</w:t>
            </w:r>
            <w:r w:rsidR="00A96EF1" w:rsidRPr="000C2B59">
              <w:rPr>
                <w:rFonts w:ascii="Times New Roman" w:hAnsi="Times New Roman" w:cs="Times New Roman"/>
                <w:b/>
              </w:rPr>
              <w:t>к</w:t>
            </w:r>
            <w:r w:rsidRPr="000C2B59">
              <w:rPr>
                <w:rFonts w:ascii="Times New Roman" w:hAnsi="Times New Roman" w:cs="Times New Roman"/>
                <w:b/>
              </w:rPr>
              <w:t>заменів</w:t>
            </w:r>
          </w:p>
        </w:tc>
        <w:tc>
          <w:tcPr>
            <w:tcW w:w="3191" w:type="dxa"/>
          </w:tcPr>
          <w:p w14:paraId="7734D627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B59">
              <w:rPr>
                <w:rFonts w:ascii="Times New Roman" w:hAnsi="Times New Roman" w:cs="Times New Roman"/>
                <w:b/>
              </w:rPr>
              <w:t>заліків</w:t>
            </w:r>
          </w:p>
        </w:tc>
      </w:tr>
      <w:tr w:rsidR="00A71D92" w:rsidRPr="000C2B59" w14:paraId="00E5AF89" w14:textId="77777777" w:rsidTr="00A71D92">
        <w:tc>
          <w:tcPr>
            <w:tcW w:w="2376" w:type="dxa"/>
          </w:tcPr>
          <w:p w14:paraId="01AE69FD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4004" w:type="dxa"/>
          </w:tcPr>
          <w:p w14:paraId="1B24C89C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6D30B6E7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зараховано</w:t>
            </w:r>
          </w:p>
        </w:tc>
      </w:tr>
      <w:tr w:rsidR="00A71D92" w:rsidRPr="000C2B59" w14:paraId="716B6565" w14:textId="77777777" w:rsidTr="00A71D92">
        <w:tc>
          <w:tcPr>
            <w:tcW w:w="2376" w:type="dxa"/>
          </w:tcPr>
          <w:p w14:paraId="068BD8BD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74-89</w:t>
            </w:r>
          </w:p>
        </w:tc>
        <w:tc>
          <w:tcPr>
            <w:tcW w:w="4004" w:type="dxa"/>
          </w:tcPr>
          <w:p w14:paraId="3E068674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3191" w:type="dxa"/>
            <w:vMerge/>
          </w:tcPr>
          <w:p w14:paraId="1B60F388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0C2B59" w14:paraId="404381F6" w14:textId="77777777" w:rsidTr="00A71D92">
        <w:tc>
          <w:tcPr>
            <w:tcW w:w="2376" w:type="dxa"/>
          </w:tcPr>
          <w:p w14:paraId="401DCE59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60-73</w:t>
            </w:r>
          </w:p>
        </w:tc>
        <w:tc>
          <w:tcPr>
            <w:tcW w:w="4004" w:type="dxa"/>
          </w:tcPr>
          <w:p w14:paraId="52821382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3191" w:type="dxa"/>
            <w:vMerge/>
          </w:tcPr>
          <w:p w14:paraId="633340A2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0C2B59" w14:paraId="38D5DDE8" w14:textId="77777777" w:rsidTr="00A71D92">
        <w:tc>
          <w:tcPr>
            <w:tcW w:w="2376" w:type="dxa"/>
          </w:tcPr>
          <w:p w14:paraId="78DD7E8C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0-59</w:t>
            </w:r>
          </w:p>
        </w:tc>
        <w:tc>
          <w:tcPr>
            <w:tcW w:w="4004" w:type="dxa"/>
          </w:tcPr>
          <w:p w14:paraId="644CCC4D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3191" w:type="dxa"/>
          </w:tcPr>
          <w:p w14:paraId="71468128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не</w:t>
            </w:r>
            <w:r w:rsidR="00A96EF1" w:rsidRPr="000C2B59">
              <w:rPr>
                <w:rFonts w:ascii="Times New Roman" w:hAnsi="Times New Roman" w:cs="Times New Roman"/>
              </w:rPr>
              <w:t xml:space="preserve"> </w:t>
            </w:r>
            <w:r w:rsidRPr="000C2B59">
              <w:rPr>
                <w:rFonts w:ascii="Times New Roman" w:hAnsi="Times New Roman" w:cs="Times New Roman"/>
              </w:rPr>
              <w:t>зараховано</w:t>
            </w:r>
          </w:p>
        </w:tc>
      </w:tr>
    </w:tbl>
    <w:p w14:paraId="7435DE4F" w14:textId="77777777" w:rsidR="00544D46" w:rsidRPr="00A71D92" w:rsidRDefault="00544D46" w:rsidP="000C2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A5FF0"/>
    <w:multiLevelType w:val="singleLevel"/>
    <w:tmpl w:val="B59EDB6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26428"/>
    <w:rsid w:val="00041491"/>
    <w:rsid w:val="000C2B59"/>
    <w:rsid w:val="000E3594"/>
    <w:rsid w:val="00124AF4"/>
    <w:rsid w:val="00130933"/>
    <w:rsid w:val="00131B33"/>
    <w:rsid w:val="001431F8"/>
    <w:rsid w:val="0015186F"/>
    <w:rsid w:val="00177AEB"/>
    <w:rsid w:val="00187796"/>
    <w:rsid w:val="001D393D"/>
    <w:rsid w:val="002002C6"/>
    <w:rsid w:val="0020200E"/>
    <w:rsid w:val="00246136"/>
    <w:rsid w:val="00264390"/>
    <w:rsid w:val="00415E29"/>
    <w:rsid w:val="0044377B"/>
    <w:rsid w:val="00467C0B"/>
    <w:rsid w:val="004B0F7A"/>
    <w:rsid w:val="004B2229"/>
    <w:rsid w:val="00502FAD"/>
    <w:rsid w:val="0051576D"/>
    <w:rsid w:val="00541C95"/>
    <w:rsid w:val="00544D46"/>
    <w:rsid w:val="00581698"/>
    <w:rsid w:val="005C41D3"/>
    <w:rsid w:val="005D323C"/>
    <w:rsid w:val="00654D54"/>
    <w:rsid w:val="006E02BB"/>
    <w:rsid w:val="00725A13"/>
    <w:rsid w:val="00744B39"/>
    <w:rsid w:val="00816CA7"/>
    <w:rsid w:val="0082074E"/>
    <w:rsid w:val="00831911"/>
    <w:rsid w:val="00880706"/>
    <w:rsid w:val="008927AA"/>
    <w:rsid w:val="00936435"/>
    <w:rsid w:val="0095733F"/>
    <w:rsid w:val="009B3B19"/>
    <w:rsid w:val="009B569C"/>
    <w:rsid w:val="00A533ED"/>
    <w:rsid w:val="00A53486"/>
    <w:rsid w:val="00A71D92"/>
    <w:rsid w:val="00A96EF1"/>
    <w:rsid w:val="00B23A24"/>
    <w:rsid w:val="00B86C78"/>
    <w:rsid w:val="00BA7EAA"/>
    <w:rsid w:val="00C2053C"/>
    <w:rsid w:val="00C82415"/>
    <w:rsid w:val="00D26A31"/>
    <w:rsid w:val="00D2711E"/>
    <w:rsid w:val="00D71BA2"/>
    <w:rsid w:val="00DA692A"/>
    <w:rsid w:val="00DD7841"/>
    <w:rsid w:val="00E23F77"/>
    <w:rsid w:val="00E35C8A"/>
    <w:rsid w:val="00E62F69"/>
    <w:rsid w:val="00E940CB"/>
    <w:rsid w:val="00EC07A1"/>
    <w:rsid w:val="00ED3451"/>
    <w:rsid w:val="00ED77A4"/>
    <w:rsid w:val="00F37892"/>
    <w:rsid w:val="00F82151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0C61"/>
  <w15:docId w15:val="{D60A9DBE-FE8A-46B6-AFA3-1D7679B2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1B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1B33"/>
    <w:rPr>
      <w:color w:val="605E5C"/>
      <w:shd w:val="clear" w:color="auto" w:fill="E1DFDD"/>
    </w:rPr>
  </w:style>
  <w:style w:type="paragraph" w:customStyle="1" w:styleId="Default">
    <w:name w:val="Default"/>
    <w:rsid w:val="00443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41D3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Calibri" w:eastAsia="Calibri" w:hAnsi="Calibri" w:cs="Calibri"/>
    </w:rPr>
  </w:style>
  <w:style w:type="character" w:customStyle="1" w:styleId="tlid-translation">
    <w:name w:val="tlid-translation"/>
    <w:basedOn w:val="a0"/>
    <w:rsid w:val="004B2229"/>
  </w:style>
  <w:style w:type="character" w:customStyle="1" w:styleId="2">
    <w:name w:val="Основной текст (2) + Полужирный"/>
    <w:rsid w:val="004B2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3993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User</cp:lastModifiedBy>
  <cp:revision>5</cp:revision>
  <dcterms:created xsi:type="dcterms:W3CDTF">2022-05-26T03:56:00Z</dcterms:created>
  <dcterms:modified xsi:type="dcterms:W3CDTF">2022-05-26T08:11:00Z</dcterms:modified>
</cp:coreProperties>
</file>