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0D58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07DF4CDA" w14:textId="77777777" w:rsidTr="00A96EF1">
        <w:tc>
          <w:tcPr>
            <w:tcW w:w="2978" w:type="dxa"/>
            <w:vMerge w:val="restart"/>
          </w:tcPr>
          <w:p w14:paraId="068497A7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9E7C4D" wp14:editId="48137CB3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7BA9B5D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7C2E5C13" w14:textId="77777777" w:rsidR="008D7D8B" w:rsidRDefault="008D7D8B" w:rsidP="004B2229">
            <w:pPr>
              <w:spacing w:line="36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     </w:t>
            </w:r>
          </w:p>
          <w:p w14:paraId="3CE71361" w14:textId="021F4932" w:rsidR="001431F8" w:rsidRPr="008D7D8B" w:rsidRDefault="004B2229" w:rsidP="004B2229">
            <w:pPr>
              <w:spacing w:line="36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 </w:t>
            </w:r>
            <w:r w:rsidR="008D7D8B" w:rsidRPr="008D7D8B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>«Зоонози та концепція єдиного здоров’я»</w:t>
            </w:r>
          </w:p>
        </w:tc>
      </w:tr>
      <w:tr w:rsidR="001431F8" w:rsidRPr="00A71D92" w14:paraId="062CF5C2" w14:textId="77777777" w:rsidTr="00A96EF1">
        <w:tc>
          <w:tcPr>
            <w:tcW w:w="2978" w:type="dxa"/>
            <w:vMerge/>
          </w:tcPr>
          <w:p w14:paraId="1C940E2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ECE57E" w14:textId="1E6546FF" w:rsidR="001431F8" w:rsidRPr="00A5348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5348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01ADBB68" w14:textId="77777777" w:rsidTr="00A96EF1">
        <w:tc>
          <w:tcPr>
            <w:tcW w:w="2978" w:type="dxa"/>
            <w:vMerge/>
          </w:tcPr>
          <w:p w14:paraId="05DCC4EF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17BB3CF" w14:textId="0C9DF07B" w:rsidR="00A96EF1" w:rsidRPr="00A71D92" w:rsidRDefault="00A96EF1" w:rsidP="00D271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15186F" w:rsidRPr="0083191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D2711E" w:rsidRPr="00D2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«Ветеринарна медицина»</w:t>
            </w:r>
          </w:p>
        </w:tc>
      </w:tr>
      <w:tr w:rsidR="001431F8" w:rsidRPr="00A71D92" w14:paraId="79A36B92" w14:textId="77777777" w:rsidTr="00A96EF1">
        <w:tc>
          <w:tcPr>
            <w:tcW w:w="2978" w:type="dxa"/>
            <w:vMerge/>
          </w:tcPr>
          <w:p w14:paraId="00FB48E5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3283C70" w14:textId="156D447C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131B33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медицина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CDDAC99" w14:textId="77777777" w:rsidTr="00A96EF1">
        <w:tc>
          <w:tcPr>
            <w:tcW w:w="2978" w:type="dxa"/>
            <w:vMerge/>
          </w:tcPr>
          <w:p w14:paraId="0D62C85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AC4E4E" w14:textId="77605220" w:rsidR="001431F8" w:rsidRPr="00A5348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31B33" w:rsidRPr="00C824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319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186F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319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1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5186F"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A534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A44CF9D" w14:textId="43B90CB7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131B33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1431F8" w:rsidRPr="00A71D92" w14:paraId="340781E4" w14:textId="77777777" w:rsidTr="00A96EF1">
        <w:tc>
          <w:tcPr>
            <w:tcW w:w="2978" w:type="dxa"/>
            <w:vMerge/>
          </w:tcPr>
          <w:p w14:paraId="0F335F5F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DE87AB" w14:textId="2289327A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A53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1431F8" w:rsidRPr="00A71D92" w14:paraId="51BC2C17" w14:textId="77777777" w:rsidTr="00A96EF1">
        <w:tc>
          <w:tcPr>
            <w:tcW w:w="2978" w:type="dxa"/>
            <w:vMerge/>
          </w:tcPr>
          <w:p w14:paraId="1F0EC85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5289A82" w14:textId="4C41CD1E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F1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="00131B33" w:rsidRPr="00F1212C">
              <w:rPr>
                <w:rFonts w:ascii="Times New Roman" w:hAnsi="Times New Roman" w:cs="Times New Roman"/>
                <w:szCs w:val="20"/>
              </w:rPr>
              <w:t>українська</w:t>
            </w:r>
          </w:p>
        </w:tc>
      </w:tr>
      <w:tr w:rsidR="00A96EF1" w:rsidRPr="00A71D92" w14:paraId="42121DF0" w14:textId="77777777" w:rsidTr="00A96EF1">
        <w:tc>
          <w:tcPr>
            <w:tcW w:w="2978" w:type="dxa"/>
          </w:tcPr>
          <w:p w14:paraId="3AF45768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4AC9FD95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039A914E" w14:textId="77777777" w:rsidTr="00A96EF1">
        <w:tc>
          <w:tcPr>
            <w:tcW w:w="2978" w:type="dxa"/>
          </w:tcPr>
          <w:p w14:paraId="4C134DBD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1B9A256D" w14:textId="6E5CE0D5" w:rsidR="001431F8" w:rsidRPr="00C82415" w:rsidRDefault="00C82415" w:rsidP="00C824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Недосєков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Віталій Володимирович</w:t>
            </w:r>
          </w:p>
        </w:tc>
      </w:tr>
      <w:tr w:rsidR="001431F8" w:rsidRPr="00A71D92" w14:paraId="53346999" w14:textId="77777777" w:rsidTr="00A96EF1">
        <w:tc>
          <w:tcPr>
            <w:tcW w:w="2978" w:type="dxa"/>
          </w:tcPr>
          <w:p w14:paraId="5BC5147B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9A9D6AE" w14:textId="3E4705E7" w:rsidR="00131B33" w:rsidRPr="008D7D8B" w:rsidRDefault="00C82415" w:rsidP="00131B33">
            <w:pPr>
              <w:rPr>
                <w:rStyle w:val="a6"/>
                <w:lang w:val="ru-RU"/>
              </w:rPr>
            </w:pP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nedosekov</w:t>
            </w:r>
            <w:proofErr w:type="spellEnd"/>
            <w:r w:rsidRPr="008D7D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vv</w:t>
            </w:r>
            <w:proofErr w:type="spellEnd"/>
            <w:r w:rsidRPr="008D7D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nubip</w:t>
            </w:r>
            <w:proofErr w:type="spellEnd"/>
            <w:r w:rsidRPr="008D7D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8D7D8B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C82415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  <w:r w:rsidRPr="008D7D8B">
              <w:rPr>
                <w:rStyle w:val="a6"/>
                <w:lang w:val="ru-RU"/>
              </w:rPr>
              <w:t xml:space="preserve"> </w:t>
            </w:r>
          </w:p>
          <w:p w14:paraId="17A294D5" w14:textId="104D89BD" w:rsidR="00581698" w:rsidRPr="008D7D8B" w:rsidRDefault="00581698" w:rsidP="00131B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14:paraId="4AC37420" w14:textId="77777777" w:rsidTr="00A96EF1">
        <w:tc>
          <w:tcPr>
            <w:tcW w:w="2978" w:type="dxa"/>
          </w:tcPr>
          <w:p w14:paraId="1CC3F198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241813FC" w14:textId="7F8B6042" w:rsidR="001431F8" w:rsidRPr="00A71D92" w:rsidRDefault="00DB079A" w:rsidP="005C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/>
          </w:p>
        </w:tc>
      </w:tr>
    </w:tbl>
    <w:p w14:paraId="79E51204" w14:textId="77777777" w:rsidR="00725A13" w:rsidRDefault="00725A13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D41D355" w14:textId="52CC1240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798E08B" w14:textId="77777777" w:rsidR="00DB079A" w:rsidRDefault="00DB079A" w:rsidP="004B22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53956" w14:textId="08106254" w:rsidR="005C41D3" w:rsidRPr="004B2229" w:rsidRDefault="0044377B" w:rsidP="004B22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229">
        <w:rPr>
          <w:rFonts w:ascii="Times New Roman" w:hAnsi="Times New Roman" w:cs="Times New Roman"/>
          <w:sz w:val="28"/>
          <w:szCs w:val="28"/>
        </w:rPr>
        <w:t xml:space="preserve">Дисципліна </w:t>
      </w:r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124433"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Зоонози та концепція єдиного здоров’я» </w:t>
      </w:r>
      <w:r w:rsidR="005C41D3" w:rsidRPr="004B2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дисципліною вільного вибору студентів V курсу факультету ветеринарної медицини.  </w:t>
      </w:r>
    </w:p>
    <w:p w14:paraId="5FB3CDC6" w14:textId="711E7316" w:rsidR="008D7D8B" w:rsidRPr="00445B9B" w:rsidRDefault="008D7D8B" w:rsidP="00124433">
      <w:pPr>
        <w:pStyle w:val="TableParagraph"/>
        <w:ind w:left="0" w:right="94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Метою дисципліни «Зоонози та концепція єдиного здоров’я» є вивчення студентами концепції «Єдине Здоров’я» – кооперація ВООЗ, ФАО та МЕБ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контексті 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«людина-тварина-довкілля»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щодо 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контролю  зоонозів, а також вивчення європейського досвіду управління ризиками поширення зоонозів та формування сучасних знать з теорії та практики основних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положень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концепції Єдине Здоров’я». </w:t>
      </w:r>
      <w:r w:rsidR="00124433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Напрямком дисципліни є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вивчення зоонозів бактеріального походження (Бактеріальні зоонози продуктивних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домашніх та екзотичних тварин. Природно-осередкові та векторні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оонози), зоонозів вірусного походження 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оонози продуктивних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домашніх тварин та екзотичних тварин. Природно-осередкові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 векторні зоонози та с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учасні загрози зоонозів у промисловому тваринництві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, виявлення та контроль ризиків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поширення зоонозів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EA1CD1" w14:textId="77777777" w:rsidR="008D7D8B" w:rsidRPr="008D7D8B" w:rsidRDefault="008D7D8B" w:rsidP="008D7D8B">
      <w:pPr>
        <w:pStyle w:val="TableParagraph"/>
        <w:tabs>
          <w:tab w:val="left" w:pos="1721"/>
          <w:tab w:val="left" w:pos="2177"/>
          <w:tab w:val="left" w:pos="3029"/>
          <w:tab w:val="left" w:pos="4075"/>
        </w:tabs>
        <w:spacing w:before="1"/>
        <w:ind w:left="0" w:right="93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також харчові зоонози (характеристика найбільш поширених харчових зоонозів (бактеріальних,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вірусних, паразитарних), шляхи забруднення харчових продуктів) та розслідування та аналіз спалахів найбільш поширених харчових зоонозів.</w:t>
      </w:r>
    </w:p>
    <w:p w14:paraId="23604961" w14:textId="77777777" w:rsidR="008D7D8B" w:rsidRPr="00631949" w:rsidRDefault="008D7D8B" w:rsidP="008D7D8B">
      <w:pPr>
        <w:pStyle w:val="TableParagraph"/>
        <w:ind w:left="0" w:right="97" w:firstLine="567"/>
        <w:rPr>
          <w:rFonts w:ascii="Times New Roman" w:hAnsi="Times New Roman" w:cs="Times New Roman"/>
          <w:sz w:val="28"/>
          <w:szCs w:val="28"/>
        </w:rPr>
      </w:pP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дисципліна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передбачає вивчення 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ості 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>до кризо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вих ситуацій і управління ними</w:t>
      </w:r>
      <w:r w:rsidRPr="00445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управління ризиками поширення зоонозів. Національні програми моніторингу та контролю біологічних небезпечних факторів – </w:t>
      </w:r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збудників зоонозів. Аналіз епідеміологічної ситуації та моніторингу зоонозів: аналіз моніторингу та підсумкових звітів ЄС, підготовлених Європейським органом з безпечності харчових продуктів (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European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Food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Safety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Authoritу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EFSA) та Європейським центром профілактики і контролю захворювань (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European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Centre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Disease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Prevention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>Control</w:t>
      </w:r>
      <w:proofErr w:type="spellEnd"/>
      <w:r w:rsidRPr="00631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ECDC).</w:t>
      </w:r>
    </w:p>
    <w:p w14:paraId="2D1B3CB0" w14:textId="77777777" w:rsidR="00631949" w:rsidRPr="00631949" w:rsidRDefault="008D7D8B" w:rsidP="00631949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949">
        <w:rPr>
          <w:rFonts w:ascii="Times New Roman" w:hAnsi="Times New Roman" w:cs="Times New Roman"/>
          <w:sz w:val="28"/>
          <w:szCs w:val="28"/>
        </w:rPr>
        <w:lastRenderedPageBreak/>
        <w:t xml:space="preserve">Дисципліна дозволяє поглибити теоретичну та практичну підготовку щодо базових зоонозів, транскордонних емерджентних </w:t>
      </w:r>
      <w:proofErr w:type="spellStart"/>
      <w:r w:rsidRPr="0063194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631949">
        <w:rPr>
          <w:rFonts w:ascii="Times New Roman" w:hAnsi="Times New Roman" w:cs="Times New Roman"/>
          <w:sz w:val="28"/>
          <w:szCs w:val="28"/>
        </w:rPr>
        <w:t xml:space="preserve">, та представити основи концепції «Єдине здоров’я». Під час курсу вивчаються передумови виникнення, трансмісії, ураження та контролю зоонозів на основі оцінки ризику та </w:t>
      </w:r>
      <w:proofErr w:type="spellStart"/>
      <w:r w:rsidRPr="00631949">
        <w:rPr>
          <w:rFonts w:ascii="Times New Roman" w:hAnsi="Times New Roman" w:cs="Times New Roman"/>
          <w:sz w:val="28"/>
          <w:szCs w:val="28"/>
        </w:rPr>
        <w:t>симуляційних</w:t>
      </w:r>
      <w:proofErr w:type="spellEnd"/>
      <w:r w:rsidRPr="00631949">
        <w:rPr>
          <w:rFonts w:ascii="Times New Roman" w:hAnsi="Times New Roman" w:cs="Times New Roman"/>
          <w:sz w:val="28"/>
          <w:szCs w:val="28"/>
        </w:rPr>
        <w:t xml:space="preserve"> вправ. Також передбачається оволодіти методологією концепції «Єдине здоров’я» та імплементації в реальних умовах.</w:t>
      </w:r>
    </w:p>
    <w:p w14:paraId="4E826241" w14:textId="77777777" w:rsidR="00631949" w:rsidRPr="005B19E4" w:rsidRDefault="00631949" w:rsidP="00631949">
      <w:pPr>
        <w:spacing w:after="0" w:line="240" w:lineRule="auto"/>
        <w:jc w:val="center"/>
        <w:rPr>
          <w:rFonts w:ascii="Times New Roman" w:hAnsi="Times New Roman" w:cs="Times New Roman"/>
          <w:b/>
          <w:color w:val="323E4F"/>
          <w:sz w:val="24"/>
          <w:szCs w:val="24"/>
        </w:rPr>
      </w:pPr>
      <w:r w:rsidRPr="005B19E4">
        <w:rPr>
          <w:rFonts w:ascii="Times New Roman" w:hAnsi="Times New Roman" w:cs="Times New Roman"/>
          <w:b/>
          <w:color w:val="323E4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84"/>
        <w:gridCol w:w="2126"/>
        <w:gridCol w:w="2127"/>
        <w:gridCol w:w="1504"/>
        <w:gridCol w:w="25"/>
        <w:gridCol w:w="13"/>
      </w:tblGrid>
      <w:tr w:rsidR="00631949" w:rsidRPr="00A71D92" w14:paraId="3B611D1D" w14:textId="77777777" w:rsidTr="00DB079A">
        <w:trPr>
          <w:gridAfter w:val="1"/>
          <w:wAfter w:w="13" w:type="dxa"/>
        </w:trPr>
        <w:tc>
          <w:tcPr>
            <w:tcW w:w="2155" w:type="dxa"/>
            <w:vAlign w:val="center"/>
          </w:tcPr>
          <w:p w14:paraId="7B004708" w14:textId="77777777" w:rsidR="00631949" w:rsidRPr="00A71D92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84" w:type="dxa"/>
            <w:vAlign w:val="center"/>
          </w:tcPr>
          <w:p w14:paraId="54B1E708" w14:textId="77777777" w:rsidR="00631949" w:rsidRPr="00A71D92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7F8F1C0" w14:textId="77777777" w:rsidR="00631949" w:rsidRPr="00F82151" w:rsidRDefault="00631949" w:rsidP="00233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126" w:type="dxa"/>
            <w:vAlign w:val="center"/>
          </w:tcPr>
          <w:p w14:paraId="345F3668" w14:textId="77777777" w:rsidR="00631949" w:rsidRPr="00A71D92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7" w:type="dxa"/>
            <w:vAlign w:val="center"/>
          </w:tcPr>
          <w:p w14:paraId="43B6FD96" w14:textId="77777777" w:rsidR="00631949" w:rsidRPr="00A71D92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29" w:type="dxa"/>
            <w:gridSpan w:val="2"/>
            <w:vAlign w:val="center"/>
          </w:tcPr>
          <w:p w14:paraId="5E2B3A1C" w14:textId="77777777" w:rsidR="00631949" w:rsidRPr="00A71D92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631949" w:rsidRPr="00A71D92" w14:paraId="702D5D8A" w14:textId="77777777" w:rsidTr="00DB079A">
        <w:tc>
          <w:tcPr>
            <w:tcW w:w="9334" w:type="dxa"/>
            <w:gridSpan w:val="7"/>
          </w:tcPr>
          <w:p w14:paraId="17A6AC51" w14:textId="77777777" w:rsidR="00631949" w:rsidRPr="00631949" w:rsidRDefault="00631949" w:rsidP="00233F23">
            <w:pPr>
              <w:jc w:val="center"/>
              <w:rPr>
                <w:rStyle w:val="tlid-translation"/>
                <w:rFonts w:eastAsia="Times New Roman"/>
                <w:sz w:val="28"/>
                <w:szCs w:val="28"/>
              </w:rPr>
            </w:pPr>
            <w:r w:rsidRPr="00631949">
              <w:rPr>
                <w:rStyle w:val="tlid-translation"/>
                <w:rFonts w:eastAsia="Times New Roman"/>
                <w:sz w:val="28"/>
                <w:szCs w:val="28"/>
              </w:rPr>
              <w:t>Модуль 1</w:t>
            </w:r>
          </w:p>
        </w:tc>
      </w:tr>
      <w:tr w:rsidR="00631949" w:rsidRPr="00A71D92" w14:paraId="6806EBB8" w14:textId="77777777" w:rsidTr="00DB079A">
        <w:tc>
          <w:tcPr>
            <w:tcW w:w="9334" w:type="dxa"/>
            <w:gridSpan w:val="7"/>
          </w:tcPr>
          <w:p w14:paraId="176A673A" w14:textId="77777777" w:rsidR="00631949" w:rsidRPr="00631949" w:rsidRDefault="00631949" w:rsidP="00233F23">
            <w:pPr>
              <w:ind w:firstLine="709"/>
              <w:jc w:val="center"/>
              <w:rPr>
                <w:rStyle w:val="tlid-translation"/>
                <w:rFonts w:eastAsia="Times New Roman"/>
              </w:rPr>
            </w:pPr>
            <w:r w:rsidRPr="00631949">
              <w:rPr>
                <w:rStyle w:val="tlid-translation"/>
                <w:rFonts w:eastAsia="Times New Roman"/>
                <w:b/>
                <w:bCs/>
              </w:rPr>
              <w:t>Змістовий модуль 1. Зоонози</w:t>
            </w:r>
          </w:p>
        </w:tc>
      </w:tr>
      <w:tr w:rsidR="00631949" w:rsidRPr="00631949" w14:paraId="74323A58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6C8DCEE7" w14:textId="77777777" w:rsidR="00631949" w:rsidRPr="00631949" w:rsidRDefault="00631949" w:rsidP="00233F23">
            <w:pPr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63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Принципи прикладної  епізоотологія та географічний прояв  зоонозів</w:t>
            </w:r>
          </w:p>
        </w:tc>
        <w:tc>
          <w:tcPr>
            <w:tcW w:w="1384" w:type="dxa"/>
          </w:tcPr>
          <w:p w14:paraId="174764B0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F24469B" w14:textId="6217D50F" w:rsidR="00631949" w:rsidRPr="00631949" w:rsidRDefault="00631949" w:rsidP="00DB079A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Знати Дизайн епідеміологічних досліджень (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когортні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, випадок-контроль та крос-секційні дослідження). Епідеміологічний контроль та нагляд (типи, характеристика механізми). </w:t>
            </w:r>
          </w:p>
        </w:tc>
        <w:tc>
          <w:tcPr>
            <w:tcW w:w="2127" w:type="dxa"/>
          </w:tcPr>
          <w:p w14:paraId="0DB59854" w14:textId="3E9C95FA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повинен представити базові принципи епідеміологічних досліджень (Причинно-наслідкові </w:t>
            </w:r>
            <w:r w:rsidR="00DB079A"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зв’язки</w:t>
            </w: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, доказова медицина та навести приклади в тваринництві</w:t>
            </w:r>
            <w:r w:rsidR="00DB079A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</w:tcPr>
          <w:p w14:paraId="0AA19733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0A91881D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45F5325C" w14:textId="77777777" w:rsidR="00631949" w:rsidRPr="00631949" w:rsidRDefault="00631949" w:rsidP="00233F23">
            <w:pPr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63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9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Біометрія та колекція епізоотологічних даних</w:t>
            </w:r>
          </w:p>
        </w:tc>
        <w:tc>
          <w:tcPr>
            <w:tcW w:w="1384" w:type="dxa"/>
          </w:tcPr>
          <w:p w14:paraId="6A99DEF1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2C0AB67E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принципи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біостатистики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 та біометрії даних. Принципи відбору проб, методів, тестів. Діагностичні маркери,  Принципи відбору достовірних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патернів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, методи оцінки, калькуляції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інтрепретації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7CBAD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1D85C2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повинен застосувати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Превалентність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інцидентність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, смертність, летальність, виживаність. Критерії вимірювання (точність, надійність, достовірність, валідність) та інтерпретація. </w:t>
            </w:r>
          </w:p>
          <w:p w14:paraId="37A1627B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454BDE07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4EB56ED4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624AB18C" w14:textId="77777777" w:rsidR="00DB079A" w:rsidRDefault="00631949" w:rsidP="00233F23">
            <w:pPr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63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1F84A6" w14:textId="183271F6" w:rsidR="00631949" w:rsidRPr="00631949" w:rsidRDefault="00631949" w:rsidP="00233F23">
            <w:pPr>
              <w:ind w:right="1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sz w:val="24"/>
                <w:szCs w:val="24"/>
              </w:rPr>
              <w:t>Оцінка та управління ризиками поширення зоонозів</w:t>
            </w:r>
          </w:p>
        </w:tc>
        <w:tc>
          <w:tcPr>
            <w:tcW w:w="1384" w:type="dxa"/>
          </w:tcPr>
          <w:p w14:paraId="30308C0D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179ADF5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Розуміти базові компоненти аналізу ризиків (ідентифікація загрози, оцінка, управління і комунікація ризику).</w:t>
            </w:r>
          </w:p>
        </w:tc>
        <w:tc>
          <w:tcPr>
            <w:tcW w:w="2127" w:type="dxa"/>
          </w:tcPr>
          <w:p w14:paraId="441364AC" w14:textId="77777777" w:rsidR="00631949" w:rsidRPr="00631949" w:rsidRDefault="00631949" w:rsidP="00233F23">
            <w:pPr>
              <w:ind w:firstLine="28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симулійційні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вправи оцінки ризику поширення сказу у а) домашніх та б) диких тварин на рівні країни, континенту.</w:t>
            </w:r>
          </w:p>
          <w:p w14:paraId="3709FE11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15649504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4E7B2657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21699395" w14:textId="77777777" w:rsidR="00631949" w:rsidRPr="00631949" w:rsidRDefault="00631949" w:rsidP="00DB079A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4. </w:t>
            </w:r>
            <w:proofErr w:type="spellStart"/>
            <w:r w:rsidRPr="006319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Геоінформаційний</w:t>
            </w:r>
            <w:proofErr w:type="spellEnd"/>
            <w:r w:rsidRPr="006319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аналіз та прогнозування поширення зоонозів</w:t>
            </w:r>
          </w:p>
        </w:tc>
        <w:tc>
          <w:tcPr>
            <w:tcW w:w="1384" w:type="dxa"/>
          </w:tcPr>
          <w:p w14:paraId="6A4F896D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085813AF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системи просторового аналізу та моделювання поширення зоонозів.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Комплекний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 епідеміологічних та економічних аспектів зоонозів. </w:t>
            </w:r>
          </w:p>
        </w:tc>
        <w:tc>
          <w:tcPr>
            <w:tcW w:w="2127" w:type="dxa"/>
          </w:tcPr>
          <w:p w14:paraId="35F7E86E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Представити залучення в епізоотичний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процесс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 різних компонентів та інтерпретація на основі ГІС. Встановити тренди напрямку руху епізоотій.</w:t>
            </w:r>
          </w:p>
        </w:tc>
        <w:tc>
          <w:tcPr>
            <w:tcW w:w="1529" w:type="dxa"/>
            <w:gridSpan w:val="2"/>
          </w:tcPr>
          <w:p w14:paraId="029CA539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30FE93AF" w14:textId="77777777" w:rsidTr="00DB079A">
        <w:tc>
          <w:tcPr>
            <w:tcW w:w="9334" w:type="dxa"/>
            <w:gridSpan w:val="7"/>
          </w:tcPr>
          <w:p w14:paraId="657ABF02" w14:textId="77777777" w:rsidR="00631949" w:rsidRPr="00631949" w:rsidRDefault="00631949" w:rsidP="00233F23">
            <w:pPr>
              <w:ind w:firstLine="28"/>
              <w:jc w:val="center"/>
              <w:rPr>
                <w:rStyle w:val="tlid-translation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Змістовий модуль 2. Концепція «Єдине Здоров’я»</w:t>
            </w:r>
          </w:p>
        </w:tc>
      </w:tr>
      <w:tr w:rsidR="00631949" w:rsidRPr="00631949" w14:paraId="020965EC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6A4D99EC" w14:textId="77777777" w:rsidR="00DB079A" w:rsidRDefault="00631949" w:rsidP="00233F2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6319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745FE4" w14:textId="62DD9943" w:rsidR="00631949" w:rsidRPr="00631949" w:rsidRDefault="00631949" w:rsidP="00233F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19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Концепція «Єдине Здоров’я» –</w:t>
            </w:r>
            <w:r w:rsidRPr="006319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кооперація тріумвірату (</w:t>
            </w:r>
            <w:r w:rsidRPr="006319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ВООЗ, ФАО та МЕБ) </w:t>
            </w:r>
            <w:r w:rsidRPr="006319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 контролю зоонозів</w:t>
            </w:r>
          </w:p>
          <w:p w14:paraId="588F73F6" w14:textId="77777777" w:rsidR="00631949" w:rsidRPr="00631949" w:rsidRDefault="00631949" w:rsidP="0023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2607ECF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1AED87E5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концепцію «Єдине здоров’я». Розуміти принципи харчової безпеки стосовно  здоров’я людей і тварин. Знати роль «Єдине здоров’я – Єдина медицина» в громадському та міжнародному здоров’я. </w:t>
            </w:r>
          </w:p>
        </w:tc>
        <w:tc>
          <w:tcPr>
            <w:tcW w:w="2127" w:type="dxa"/>
          </w:tcPr>
          <w:p w14:paraId="2583149D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Представити модель використання концепції</w:t>
            </w:r>
          </w:p>
        </w:tc>
        <w:tc>
          <w:tcPr>
            <w:tcW w:w="1529" w:type="dxa"/>
            <w:gridSpan w:val="2"/>
          </w:tcPr>
          <w:p w14:paraId="30BA9C42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019360B5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0CA46A37" w14:textId="77777777" w:rsidR="00DB079A" w:rsidRDefault="00631949" w:rsidP="002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63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7CF53" w14:textId="3E16D2DE" w:rsidR="00631949" w:rsidRPr="00631949" w:rsidRDefault="00631949" w:rsidP="002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sz w:val="24"/>
                <w:szCs w:val="24"/>
              </w:rPr>
              <w:t>Обізнаність, реагування та кризове управління на емерджентні ситуації щодо зоонозів.</w:t>
            </w:r>
          </w:p>
          <w:p w14:paraId="03F96CAA" w14:textId="77777777" w:rsidR="00631949" w:rsidRPr="00631949" w:rsidRDefault="00631949" w:rsidP="0023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2CA6125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78FD826F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комплексну підготовленість та реагування спалахам зоонозів на основі національного та міжнародного законодавства, проектів, планів. </w:t>
            </w:r>
          </w:p>
        </w:tc>
        <w:tc>
          <w:tcPr>
            <w:tcW w:w="2127" w:type="dxa"/>
          </w:tcPr>
          <w:p w14:paraId="3081CCCB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Розробити програму контролю зоонозів на основі критичного аналізу технічних аспектів прояву зоонозів.</w:t>
            </w:r>
          </w:p>
        </w:tc>
        <w:tc>
          <w:tcPr>
            <w:tcW w:w="1529" w:type="dxa"/>
            <w:gridSpan w:val="2"/>
          </w:tcPr>
          <w:p w14:paraId="7E9A53F2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1E16F2A3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72A56380" w14:textId="77777777" w:rsidR="00DB079A" w:rsidRDefault="00631949" w:rsidP="00233F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 </w:t>
            </w:r>
          </w:p>
          <w:p w14:paraId="0DF1A18D" w14:textId="1A8B721C" w:rsidR="00631949" w:rsidRPr="00631949" w:rsidRDefault="00631949" w:rsidP="00233F2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Ветеринарна медицини у забезпеченні концепції «Єдине здоров’я»</w:t>
            </w:r>
          </w:p>
          <w:p w14:paraId="09CF4EA2" w14:textId="77777777" w:rsidR="00631949" w:rsidRPr="00631949" w:rsidRDefault="00631949" w:rsidP="0023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1084280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64EC200C" w14:textId="77777777" w:rsidR="00631949" w:rsidRPr="00631949" w:rsidRDefault="00631949" w:rsidP="00233F23">
            <w:pPr>
              <w:pStyle w:val="2"/>
              <w:spacing w:before="0"/>
              <w:ind w:firstLine="28"/>
              <w:jc w:val="both"/>
              <w:outlineLvl w:val="1"/>
              <w:rPr>
                <w:rStyle w:val="tlid-translation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en-US"/>
              </w:rPr>
            </w:pPr>
            <w:r w:rsidRPr="00631949">
              <w:rPr>
                <w:rStyle w:val="tlid-translation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en-US"/>
              </w:rPr>
              <w:t xml:space="preserve">Знати діяльність </w:t>
            </w:r>
            <w:proofErr w:type="spellStart"/>
            <w:r w:rsidRPr="00631949">
              <w:rPr>
                <w:rStyle w:val="tlid-translation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en-US"/>
              </w:rPr>
              <w:t>Триумвірату</w:t>
            </w:r>
            <w:proofErr w:type="spellEnd"/>
            <w:r w:rsidRPr="00631949">
              <w:rPr>
                <w:rStyle w:val="tlid-translation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en-US"/>
              </w:rPr>
              <w:t xml:space="preserve"> (ФАО, МЕБ, ВООЗ), EFSA та ECDC.</w:t>
            </w:r>
          </w:p>
          <w:p w14:paraId="51965209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D60FC5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Представити завдання, структуру, збір та аналіз даних, моніторинг та оцінку ризиків</w:t>
            </w:r>
          </w:p>
        </w:tc>
        <w:tc>
          <w:tcPr>
            <w:tcW w:w="1529" w:type="dxa"/>
            <w:gridSpan w:val="2"/>
          </w:tcPr>
          <w:p w14:paraId="4527ACA4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631949" w14:paraId="4CE184BA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372B4150" w14:textId="77777777" w:rsidR="00DB079A" w:rsidRDefault="00631949" w:rsidP="002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r w:rsidRPr="0063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670FA2" w14:textId="4DE722B4" w:rsidR="00631949" w:rsidRPr="00631949" w:rsidRDefault="00631949" w:rsidP="002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Емерджентні зоонози та наслідки для людства</w:t>
            </w:r>
          </w:p>
        </w:tc>
        <w:tc>
          <w:tcPr>
            <w:tcW w:w="1384" w:type="dxa"/>
          </w:tcPr>
          <w:p w14:paraId="19CFB171" w14:textId="77777777" w:rsidR="00631949" w:rsidRPr="00631949" w:rsidRDefault="00631949" w:rsidP="00233F2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4FD6EBA1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Знати принципи класифікації зоонозів і розуміти моделі маніфестації наслідків.</w:t>
            </w:r>
          </w:p>
          <w:p w14:paraId="031A6672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D8C68F" w14:textId="77777777" w:rsidR="00631949" w:rsidRPr="00631949" w:rsidRDefault="00631949" w:rsidP="00233F2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Представити методи профілактики і захист території держави від занесення збудників емерджентних </w:t>
            </w:r>
            <w:proofErr w:type="spellStart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631949"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</w:tcPr>
          <w:p w14:paraId="654616B2" w14:textId="77777777" w:rsidR="00631949" w:rsidRPr="00631949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A71D92" w14:paraId="52518ABB" w14:textId="77777777" w:rsidTr="00DB079A">
        <w:trPr>
          <w:gridAfter w:val="2"/>
          <w:wAfter w:w="38" w:type="dxa"/>
        </w:trPr>
        <w:tc>
          <w:tcPr>
            <w:tcW w:w="7792" w:type="dxa"/>
            <w:gridSpan w:val="4"/>
          </w:tcPr>
          <w:p w14:paraId="02ADBA27" w14:textId="77777777" w:rsidR="00631949" w:rsidRPr="00C51500" w:rsidRDefault="00631949" w:rsidP="00233F23">
            <w:pPr>
              <w:ind w:left="36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04" w:type="dxa"/>
          </w:tcPr>
          <w:p w14:paraId="5DCB10D4" w14:textId="77777777" w:rsidR="00631949" w:rsidRPr="00A71D92" w:rsidRDefault="00631949" w:rsidP="00233F23">
            <w:pPr>
              <w:jc w:val="center"/>
              <w:rPr>
                <w:b/>
                <w:sz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31949" w:rsidRPr="00A71D92" w14:paraId="28694172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1D440020" w14:textId="25111B95" w:rsidR="00631949" w:rsidRPr="00C51500" w:rsidRDefault="00F1212C" w:rsidP="00233F2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631949" w:rsidRPr="004B222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384" w:type="dxa"/>
          </w:tcPr>
          <w:p w14:paraId="54C59D72" w14:textId="77777777" w:rsidR="00631949" w:rsidRPr="00C51500" w:rsidRDefault="00631949" w:rsidP="00233F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605BE" w14:textId="77777777" w:rsidR="00631949" w:rsidRPr="00C51500" w:rsidRDefault="00631949" w:rsidP="00233F23">
            <w:pPr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871001" w14:textId="77777777" w:rsidR="00631949" w:rsidRPr="00C51500" w:rsidRDefault="00631949" w:rsidP="00233F23">
            <w:pPr>
              <w:ind w:left="36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7B7DE93A" w14:textId="77777777" w:rsidR="00631949" w:rsidRPr="00A71D92" w:rsidRDefault="00631949" w:rsidP="00233F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631949" w:rsidRPr="00A71D92" w14:paraId="28BBEC7E" w14:textId="77777777" w:rsidTr="00DB079A">
        <w:trPr>
          <w:gridAfter w:val="2"/>
          <w:wAfter w:w="38" w:type="dxa"/>
        </w:trPr>
        <w:tc>
          <w:tcPr>
            <w:tcW w:w="7792" w:type="dxa"/>
            <w:gridSpan w:val="4"/>
          </w:tcPr>
          <w:p w14:paraId="69007120" w14:textId="0A4A89BA" w:rsidR="00631949" w:rsidRPr="00A71D92" w:rsidRDefault="00F1212C" w:rsidP="00233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631949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04" w:type="dxa"/>
          </w:tcPr>
          <w:p w14:paraId="5100DA1A" w14:textId="77777777" w:rsidR="00631949" w:rsidRPr="00A71D92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81B945E" w14:textId="08F3F4B2" w:rsidR="00A71D92" w:rsidRDefault="00631949" w:rsidP="00631949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17ADD7" w14:textId="77777777" w:rsidR="00130933" w:rsidRPr="000C2B5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0C2B59">
        <w:rPr>
          <w:rFonts w:ascii="Times New Roman" w:hAnsi="Times New Roman" w:cs="Times New Roman"/>
          <w:b/>
          <w:color w:val="17365D" w:themeColor="text2" w:themeShade="BF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48B40EFE" w14:textId="77777777" w:rsidTr="00130933">
        <w:tc>
          <w:tcPr>
            <w:tcW w:w="2660" w:type="dxa"/>
          </w:tcPr>
          <w:p w14:paraId="58750D30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7B56B6E9" w14:textId="77777777"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6D502364" w14:textId="77777777" w:rsidTr="00130933">
        <w:tc>
          <w:tcPr>
            <w:tcW w:w="2660" w:type="dxa"/>
          </w:tcPr>
          <w:p w14:paraId="3EAFF3F9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C2E0A5B" w14:textId="77777777"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14:paraId="652B6064" w14:textId="77777777" w:rsidTr="00130933">
        <w:tc>
          <w:tcPr>
            <w:tcW w:w="2660" w:type="dxa"/>
          </w:tcPr>
          <w:p w14:paraId="366AA778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65C1201" w14:textId="77777777"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C1DC6BA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4BD78" w14:textId="77777777" w:rsidR="00130933" w:rsidRPr="000C2B5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0C2B59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C2B59" w14:paraId="6329D101" w14:textId="77777777" w:rsidTr="00131B33">
        <w:tc>
          <w:tcPr>
            <w:tcW w:w="2376" w:type="dxa"/>
            <w:vMerge w:val="restart"/>
          </w:tcPr>
          <w:p w14:paraId="0B659F41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49B416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0C2B59" w14:paraId="410897A5" w14:textId="77777777" w:rsidTr="00A71D92">
        <w:tc>
          <w:tcPr>
            <w:tcW w:w="2376" w:type="dxa"/>
            <w:vMerge/>
          </w:tcPr>
          <w:p w14:paraId="56440E78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14:paraId="0BEBFC25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е</w:t>
            </w:r>
            <w:r w:rsidR="00A96EF1" w:rsidRPr="000C2B59">
              <w:rPr>
                <w:rFonts w:ascii="Times New Roman" w:hAnsi="Times New Roman" w:cs="Times New Roman"/>
                <w:b/>
              </w:rPr>
              <w:t>к</w:t>
            </w:r>
            <w:r w:rsidRPr="000C2B59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14:paraId="7734D627" w14:textId="30281B69" w:rsidR="00A71D92" w:rsidRPr="000C2B59" w:rsidRDefault="00631949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B59">
              <w:rPr>
                <w:rFonts w:ascii="Times New Roman" w:hAnsi="Times New Roman" w:cs="Times New Roman"/>
                <w:b/>
              </w:rPr>
              <w:t>З</w:t>
            </w:r>
            <w:r w:rsidR="00A71D92" w:rsidRPr="000C2B59">
              <w:rPr>
                <w:rFonts w:ascii="Times New Roman" w:hAnsi="Times New Roman" w:cs="Times New Roman"/>
                <w:b/>
              </w:rPr>
              <w:t>аліків</w:t>
            </w:r>
          </w:p>
        </w:tc>
      </w:tr>
      <w:tr w:rsidR="00A71D92" w:rsidRPr="000C2B59" w14:paraId="00E5AF89" w14:textId="77777777" w:rsidTr="00A71D92">
        <w:tc>
          <w:tcPr>
            <w:tcW w:w="2376" w:type="dxa"/>
          </w:tcPr>
          <w:p w14:paraId="01AE69F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14:paraId="1B24C89C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6D30B6E7" w14:textId="407887BD" w:rsidR="00A71D92" w:rsidRPr="000C2B59" w:rsidRDefault="00631949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З</w:t>
            </w:r>
            <w:r w:rsidR="00A71D92" w:rsidRPr="000C2B59">
              <w:rPr>
                <w:rFonts w:ascii="Times New Roman" w:hAnsi="Times New Roman" w:cs="Times New Roman"/>
              </w:rPr>
              <w:t>араховано</w:t>
            </w:r>
          </w:p>
        </w:tc>
      </w:tr>
      <w:tr w:rsidR="00A71D92" w:rsidRPr="000C2B59" w14:paraId="716B6565" w14:textId="77777777" w:rsidTr="00A71D92">
        <w:tc>
          <w:tcPr>
            <w:tcW w:w="2376" w:type="dxa"/>
          </w:tcPr>
          <w:p w14:paraId="068BD8B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14:paraId="3E068674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14:paraId="1B60F388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0C2B59" w14:paraId="404381F6" w14:textId="77777777" w:rsidTr="00A71D92">
        <w:tc>
          <w:tcPr>
            <w:tcW w:w="2376" w:type="dxa"/>
          </w:tcPr>
          <w:p w14:paraId="401DCE59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14:paraId="52821382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14:paraId="633340A2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0C2B59" w14:paraId="38D5DDE8" w14:textId="77777777" w:rsidTr="00A71D92">
        <w:tc>
          <w:tcPr>
            <w:tcW w:w="2376" w:type="dxa"/>
          </w:tcPr>
          <w:p w14:paraId="78DD7E8C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14:paraId="644CCC4D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14:paraId="71468128" w14:textId="77777777" w:rsidR="00A71D92" w:rsidRPr="000C2B59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0C2B59">
              <w:rPr>
                <w:rFonts w:ascii="Times New Roman" w:hAnsi="Times New Roman" w:cs="Times New Roman"/>
              </w:rPr>
              <w:t>не</w:t>
            </w:r>
            <w:r w:rsidR="00A96EF1" w:rsidRPr="000C2B59">
              <w:rPr>
                <w:rFonts w:ascii="Times New Roman" w:hAnsi="Times New Roman" w:cs="Times New Roman"/>
              </w:rPr>
              <w:t xml:space="preserve"> </w:t>
            </w:r>
            <w:r w:rsidRPr="000C2B59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14:paraId="7435DE4F" w14:textId="77777777" w:rsidR="00544D46" w:rsidRPr="00A71D92" w:rsidRDefault="00544D46" w:rsidP="000C2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5FF0"/>
    <w:multiLevelType w:val="singleLevel"/>
    <w:tmpl w:val="B59EDB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41491"/>
    <w:rsid w:val="000C2B59"/>
    <w:rsid w:val="000E3594"/>
    <w:rsid w:val="00124433"/>
    <w:rsid w:val="00124AF4"/>
    <w:rsid w:val="00130933"/>
    <w:rsid w:val="00131B33"/>
    <w:rsid w:val="001431F8"/>
    <w:rsid w:val="0015186F"/>
    <w:rsid w:val="00177AEB"/>
    <w:rsid w:val="00187796"/>
    <w:rsid w:val="001D393D"/>
    <w:rsid w:val="002002C6"/>
    <w:rsid w:val="0020200E"/>
    <w:rsid w:val="00246136"/>
    <w:rsid w:val="00264390"/>
    <w:rsid w:val="00415E29"/>
    <w:rsid w:val="0044377B"/>
    <w:rsid w:val="00467C0B"/>
    <w:rsid w:val="004B0F7A"/>
    <w:rsid w:val="004B2229"/>
    <w:rsid w:val="00502FAD"/>
    <w:rsid w:val="0051576D"/>
    <w:rsid w:val="00541C95"/>
    <w:rsid w:val="00544D46"/>
    <w:rsid w:val="00581698"/>
    <w:rsid w:val="005C41D3"/>
    <w:rsid w:val="005D323C"/>
    <w:rsid w:val="00631949"/>
    <w:rsid w:val="00654D54"/>
    <w:rsid w:val="006E02BB"/>
    <w:rsid w:val="00725A13"/>
    <w:rsid w:val="00744B39"/>
    <w:rsid w:val="00816CA7"/>
    <w:rsid w:val="0082074E"/>
    <w:rsid w:val="00831911"/>
    <w:rsid w:val="00880706"/>
    <w:rsid w:val="008927AA"/>
    <w:rsid w:val="008D7D8B"/>
    <w:rsid w:val="00936435"/>
    <w:rsid w:val="0095733F"/>
    <w:rsid w:val="009B3B19"/>
    <w:rsid w:val="009B569C"/>
    <w:rsid w:val="00A533ED"/>
    <w:rsid w:val="00A53486"/>
    <w:rsid w:val="00A71D92"/>
    <w:rsid w:val="00A96EF1"/>
    <w:rsid w:val="00B23A24"/>
    <w:rsid w:val="00B86C78"/>
    <w:rsid w:val="00BA7EAA"/>
    <w:rsid w:val="00C2053C"/>
    <w:rsid w:val="00C82415"/>
    <w:rsid w:val="00D26A31"/>
    <w:rsid w:val="00D2711E"/>
    <w:rsid w:val="00D71BA2"/>
    <w:rsid w:val="00DA692A"/>
    <w:rsid w:val="00DB079A"/>
    <w:rsid w:val="00DD7841"/>
    <w:rsid w:val="00E23F77"/>
    <w:rsid w:val="00E35C8A"/>
    <w:rsid w:val="00E62F69"/>
    <w:rsid w:val="00E940CB"/>
    <w:rsid w:val="00EC07A1"/>
    <w:rsid w:val="00ED3451"/>
    <w:rsid w:val="00ED77A4"/>
    <w:rsid w:val="00F1212C"/>
    <w:rsid w:val="00F37892"/>
    <w:rsid w:val="00F8215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0C61"/>
  <w15:docId w15:val="{D60A9DBE-FE8A-46B6-AFA3-1D7679B2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319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1B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1B33"/>
    <w:rPr>
      <w:color w:val="605E5C"/>
      <w:shd w:val="clear" w:color="auto" w:fill="E1DFDD"/>
    </w:rPr>
  </w:style>
  <w:style w:type="paragraph" w:customStyle="1" w:styleId="Default">
    <w:name w:val="Default"/>
    <w:rsid w:val="00443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41D3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Calibri" w:eastAsia="Calibri" w:hAnsi="Calibri" w:cs="Calibri"/>
    </w:rPr>
  </w:style>
  <w:style w:type="character" w:customStyle="1" w:styleId="tlid-translation">
    <w:name w:val="tlid-translation"/>
    <w:basedOn w:val="a0"/>
    <w:rsid w:val="004B2229"/>
  </w:style>
  <w:style w:type="character" w:customStyle="1" w:styleId="21">
    <w:name w:val="Основной текст (2) + Полужирный"/>
    <w:rsid w:val="004B2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0">
    <w:name w:val="Заголовок 2 Знак"/>
    <w:basedOn w:val="a0"/>
    <w:link w:val="2"/>
    <w:rsid w:val="0063194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4243</Words>
  <Characters>2419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7</cp:revision>
  <dcterms:created xsi:type="dcterms:W3CDTF">2022-05-26T04:47:00Z</dcterms:created>
  <dcterms:modified xsi:type="dcterms:W3CDTF">2022-05-26T08:21:00Z</dcterms:modified>
</cp:coreProperties>
</file>