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889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6911"/>
      </w:tblGrid>
      <w:tr w:rsidR="006A4C4F" w:rsidRPr="00016DCA" w14:paraId="09FFDFA3" w14:textId="77777777" w:rsidTr="003410DC">
        <w:tc>
          <w:tcPr>
            <w:tcW w:w="2978" w:type="dxa"/>
            <w:vMerge w:val="restart"/>
            <w:tcBorders>
              <w:right w:val="single" w:sz="4" w:space="0" w:color="auto"/>
            </w:tcBorders>
            <w:vAlign w:val="center"/>
          </w:tcPr>
          <w:p w14:paraId="79483840" w14:textId="77777777" w:rsidR="006A4C4F" w:rsidRPr="00016DCA" w:rsidRDefault="006A4C4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CF5230" wp14:editId="4090BF79">
                  <wp:extent cx="1575078" cy="1590675"/>
                  <wp:effectExtent l="0" t="0" r="6350" b="0"/>
                  <wp:docPr id="4" name="Picture 9" descr="E:\nubip_logo_new_poisk_18_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9" descr="E:\nubip_logo_new_poisk_18_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897" cy="161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62A2EC27" w14:textId="77777777" w:rsidR="006A4C4F" w:rsidRPr="00016DCA" w:rsidRDefault="006A4C4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color w:val="323E4F" w:themeColor="text2" w:themeShade="BF"/>
                <w:sz w:val="24"/>
                <w:szCs w:val="24"/>
              </w:rPr>
              <w:t xml:space="preserve">СИЛАБУС ДИСЦИПЛІНИ </w:t>
            </w:r>
          </w:p>
          <w:p w14:paraId="1F4A8C94" w14:textId="77777777" w:rsidR="006A4C4F" w:rsidRPr="00016DCA" w:rsidRDefault="006A4C4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Основи наукових досліджень і педагогіки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4C4F" w:rsidRPr="00016DCA" w14:paraId="2863E6B0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83329D6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DD8C45F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F22AE2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Ступінь вищої освіти - </w:t>
            </w:r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Магістр</w:t>
            </w:r>
          </w:p>
        </w:tc>
      </w:tr>
      <w:tr w:rsidR="006A4C4F" w:rsidRPr="00016DCA" w14:paraId="396BE132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1B95A576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56F96A32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133 -«Галузеве машинобудування»</w:t>
            </w:r>
          </w:p>
        </w:tc>
      </w:tr>
      <w:tr w:rsidR="006A4C4F" w:rsidRPr="00016DCA" w14:paraId="2F0A5929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7AAB1D9E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19C2A2A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Освітня програма - «</w:t>
            </w:r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«Машин та </w:t>
            </w:r>
            <w:proofErr w:type="spellStart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обладнання</w:t>
            </w:r>
            <w:proofErr w:type="spellEnd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сільськогосподарського</w:t>
            </w:r>
            <w:proofErr w:type="spellEnd"/>
            <w:r w:rsidR="002F41BC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 xml:space="preserve"> </w:t>
            </w:r>
            <w:proofErr w:type="spellStart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виробництва</w:t>
            </w:r>
            <w:proofErr w:type="spellEnd"/>
            <w:r w:rsidR="0071795E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  <w:t>»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4C4F" w:rsidRPr="00016DCA" w14:paraId="2E110E7A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3B0B53CF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3C9B04D7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Рік навчання – </w:t>
            </w:r>
            <w:r w:rsidR="002F41B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семестр – </w:t>
            </w:r>
            <w:r w:rsidR="002F41B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14:paraId="22158160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 навчання – 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денна;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C4F" w:rsidRPr="00016DCA" w14:paraId="6FB7B5C2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5F65268D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4684CCF5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Кількість кредитів ЄКТС </w:t>
            </w:r>
            <w:r w:rsidR="008400C0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E404F"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</w:tr>
      <w:tr w:rsidR="006A4C4F" w:rsidRPr="00016DCA" w14:paraId="225083E5" w14:textId="77777777" w:rsidTr="003410DC">
        <w:tc>
          <w:tcPr>
            <w:tcW w:w="2978" w:type="dxa"/>
            <w:vMerge/>
            <w:tcBorders>
              <w:right w:val="single" w:sz="4" w:space="0" w:color="auto"/>
            </w:tcBorders>
          </w:tcPr>
          <w:p w14:paraId="75C4BCBF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789F389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Мова викладання – 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українська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C4F" w:rsidRPr="00016DCA" w14:paraId="69A87F3F" w14:textId="77777777" w:rsidTr="003410DC">
        <w:tc>
          <w:tcPr>
            <w:tcW w:w="2978" w:type="dxa"/>
            <w:tcBorders>
              <w:right w:val="single" w:sz="4" w:space="0" w:color="auto"/>
            </w:tcBorders>
          </w:tcPr>
          <w:p w14:paraId="05E0B9B8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Лектор курсу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9416CF0" w14:textId="0D25D7E4" w:rsidR="006A4C4F" w:rsidRPr="00016DCA" w:rsidRDefault="00AD3622" w:rsidP="00182A6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Роговський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І.Л., Дьомін О.А., </w:t>
            </w:r>
            <w:r w:rsidR="006A4C4F" w:rsidRPr="00016DC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Банний О.О.</w:t>
            </w:r>
          </w:p>
          <w:p w14:paraId="7DFCE34A" w14:textId="0C6B4C4A" w:rsidR="004C123C" w:rsidRPr="00016DCA" w:rsidRDefault="004C123C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ru-RU"/>
              </w:rPr>
            </w:pPr>
          </w:p>
        </w:tc>
      </w:tr>
      <w:tr w:rsidR="006A4C4F" w:rsidRPr="00016DCA" w14:paraId="74C0F42F" w14:textId="77777777" w:rsidTr="003410DC">
        <w:tc>
          <w:tcPr>
            <w:tcW w:w="2978" w:type="dxa"/>
            <w:tcBorders>
              <w:right w:val="single" w:sz="4" w:space="0" w:color="auto"/>
            </w:tcBorders>
          </w:tcPr>
          <w:p w14:paraId="00268D5A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 інформація лектора (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620953AA" w14:textId="77777777" w:rsidR="006A4C4F" w:rsidRPr="00016DCA" w:rsidRDefault="006A4C4F" w:rsidP="00182A6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14:paraId="1ADB93C7" w14:textId="77777777" w:rsidR="006A4C4F" w:rsidRPr="00016DCA" w:rsidRDefault="00000000" w:rsidP="00182A65">
            <w:pPr>
              <w:spacing w:after="0" w:line="240" w:lineRule="auto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A4C4F" w:rsidRPr="00016DCA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bannyy@nubip.edu.ua</w:t>
              </w:r>
            </w:hyperlink>
            <w:r w:rsidR="006A4C4F" w:rsidRPr="00016DCA">
              <w:rPr>
                <w:rStyle w:val="a3"/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A4C4F" w:rsidRPr="00016DCA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A4C4F" w:rsidRPr="00016DCA" w14:paraId="7FD0A764" w14:textId="77777777" w:rsidTr="003410DC">
        <w:tc>
          <w:tcPr>
            <w:tcW w:w="2978" w:type="dxa"/>
            <w:tcBorders>
              <w:bottom w:val="single" w:sz="4" w:space="0" w:color="auto"/>
              <w:right w:val="single" w:sz="4" w:space="0" w:color="auto"/>
            </w:tcBorders>
          </w:tcPr>
          <w:p w14:paraId="2964A670" w14:textId="77777777" w:rsidR="006A4C4F" w:rsidRPr="00016DCA" w:rsidRDefault="006A4C4F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Сторінка курсу в</w:t>
            </w:r>
            <w:r w:rsidRPr="00016DC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eLearn </w:t>
            </w:r>
          </w:p>
        </w:tc>
        <w:tc>
          <w:tcPr>
            <w:tcW w:w="6911" w:type="dxa"/>
            <w:tcBorders>
              <w:left w:val="single" w:sz="4" w:space="0" w:color="auto"/>
            </w:tcBorders>
          </w:tcPr>
          <w:p w14:paraId="1551D7CE" w14:textId="77777777" w:rsidR="006A4C4F" w:rsidRPr="00016DCA" w:rsidRDefault="00000000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4C123C" w:rsidRPr="00016DCA">
                <w:rPr>
                  <w:rStyle w:val="a3"/>
                  <w:rFonts w:ascii="Times New Roman" w:hAnsi="Times New Roman" w:cs="Times New Roman"/>
                  <w:b/>
                  <w:sz w:val="24"/>
                  <w:szCs w:val="24"/>
                </w:rPr>
                <w:t>https://elearn.nubip.edu.ua/course/view.php?id=3839</w:t>
              </w:r>
            </w:hyperlink>
            <w:r w:rsidR="004C123C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02B291F5" w14:textId="77777777" w:rsidR="004D0BE3" w:rsidRPr="00016DCA" w:rsidRDefault="004D0BE3" w:rsidP="00182A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60367" w14:textId="77777777" w:rsidR="004D0BE3" w:rsidRPr="00016DCA" w:rsidRDefault="004D0BE3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16D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ОПИС ДИСЦИПЛІНИ</w:t>
      </w:r>
    </w:p>
    <w:p w14:paraId="710D3E04" w14:textId="77777777" w:rsidR="006A4C4F" w:rsidRPr="00016DCA" w:rsidRDefault="004D0BE3" w:rsidP="00182A6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016DCA">
        <w:rPr>
          <w:rFonts w:ascii="Times New Roman" w:hAnsi="Times New Roman" w:cs="Times New Roman"/>
          <w:i/>
          <w:sz w:val="24"/>
          <w:szCs w:val="24"/>
          <w:vertAlign w:val="superscript"/>
        </w:rPr>
        <w:t>(до 1000 друкованих знаків)</w:t>
      </w:r>
    </w:p>
    <w:p w14:paraId="241107C1" w14:textId="77777777" w:rsidR="00A224D1" w:rsidRPr="00016DCA" w:rsidRDefault="00FF06AF" w:rsidP="00182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Навчальний курс з дисципліни «Основи наукових досліджень і педагогіки»</w:t>
      </w:r>
      <w:r w:rsidR="00477A18" w:rsidRPr="00016DCA">
        <w:rPr>
          <w:rFonts w:ascii="Times New Roman" w:hAnsi="Times New Roman" w:cs="Times New Roman"/>
          <w:sz w:val="24"/>
          <w:szCs w:val="24"/>
        </w:rPr>
        <w:t xml:space="preserve"> надає студентам </w:t>
      </w:r>
      <w:r w:rsidR="00A224D1" w:rsidRPr="00016DCA">
        <w:rPr>
          <w:rFonts w:ascii="Times New Roman" w:hAnsi="Times New Roman" w:cs="Times New Roman"/>
          <w:sz w:val="24"/>
          <w:szCs w:val="24"/>
        </w:rPr>
        <w:t>необхідн</w:t>
      </w:r>
      <w:r w:rsidR="00477A18" w:rsidRPr="00016DCA">
        <w:rPr>
          <w:rFonts w:ascii="Times New Roman" w:hAnsi="Times New Roman" w:cs="Times New Roman"/>
          <w:sz w:val="24"/>
          <w:szCs w:val="24"/>
        </w:rPr>
        <w:t>ий</w:t>
      </w:r>
      <w:r w:rsidR="00A224D1" w:rsidRPr="00016DCA">
        <w:rPr>
          <w:rFonts w:ascii="Times New Roman" w:hAnsi="Times New Roman" w:cs="Times New Roman"/>
          <w:sz w:val="24"/>
          <w:szCs w:val="24"/>
        </w:rPr>
        <w:t xml:space="preserve"> обсяг знань у галузі наукових </w:t>
      </w:r>
      <w:r w:rsidR="00C3264B" w:rsidRPr="00016DCA">
        <w:rPr>
          <w:rFonts w:ascii="Times New Roman" w:hAnsi="Times New Roman" w:cs="Times New Roman"/>
          <w:sz w:val="24"/>
          <w:szCs w:val="24"/>
        </w:rPr>
        <w:t>і педагогічних досліджень</w:t>
      </w:r>
      <w:r w:rsidR="00A224D1" w:rsidRPr="00016DCA">
        <w:rPr>
          <w:rFonts w:ascii="Times New Roman" w:hAnsi="Times New Roman" w:cs="Times New Roman"/>
          <w:sz w:val="24"/>
          <w:szCs w:val="24"/>
        </w:rPr>
        <w:t>, підготовка їх до самостійного виконання наукової роботи, ознайомлення з формами звітів, методикою підготовки повідомлень, доповідей, наукових статей, курсових та дипломних робіт.</w:t>
      </w:r>
    </w:p>
    <w:p w14:paraId="3C634AF5" w14:textId="77777777" w:rsidR="00A224D1" w:rsidRPr="00016DCA" w:rsidRDefault="00A224D1" w:rsidP="00182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Одне із завдань дисципліни "Основи наукових досліджень і педагогіки" полягає в ознайомленні магістрів з методологією пошуку актуальних задач (проблем), постановкою, проведенням та інтерпретації досліджень в області машинобудування. Навчає методу системного аналізу технологічних систем та їх синтезу, формування у студентів та умінь щодо виявлення та характеризування педагогічних проблем, підбору оптимальних педагогічних підходів для організації навчання і виховання.. А також подати: основну термінологію цього предмету, методику теоретичних та експериментальних досліджень, сутність найбільш поширених методів оптимізації об’єктів дослідження та практику оформлення результатів дослідження.</w:t>
      </w:r>
    </w:p>
    <w:p w14:paraId="483F7CA9" w14:textId="77777777" w:rsidR="004D0BE3" w:rsidRPr="00016DCA" w:rsidRDefault="004D0BE3" w:rsidP="00182A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9E2933" w14:textId="77777777" w:rsidR="00E44313" w:rsidRDefault="002A1A29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16D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КОМПЕТЕНТНОСТІ ОП:</w:t>
      </w:r>
    </w:p>
    <w:p w14:paraId="3C9F6025" w14:textId="77777777" w:rsidR="001804AA" w:rsidRPr="00016DCA" w:rsidRDefault="001804AA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p w14:paraId="49384462" w14:textId="77777777" w:rsidR="00FA2715" w:rsidRPr="00016DCA" w:rsidRDefault="00A62D59" w:rsidP="00182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І</w:t>
      </w:r>
      <w:r w:rsidR="00FA2715" w:rsidRPr="00016DCA">
        <w:rPr>
          <w:rFonts w:ascii="Times New Roman" w:hAnsi="Times New Roman" w:cs="Times New Roman"/>
          <w:b/>
          <w:sz w:val="24"/>
          <w:szCs w:val="24"/>
        </w:rPr>
        <w:t>нтегральна компетентність (ІК):</w:t>
      </w:r>
    </w:p>
    <w:p w14:paraId="0EA42E62" w14:textId="77777777" w:rsidR="00E44313" w:rsidRPr="00016DCA" w:rsidRDefault="00FA2715" w:rsidP="00182A65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ІК</w:t>
      </w:r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r w:rsidR="00E44313" w:rsidRPr="00016DCA">
        <w:rPr>
          <w:rFonts w:ascii="Times New Roman" w:hAnsi="Times New Roman" w:cs="Times New Roman"/>
          <w:sz w:val="24"/>
          <w:szCs w:val="24"/>
        </w:rPr>
        <w:t>Здатність розв’язувати складні завдання і проблеми галузевого машинобудування, що передбачають проведення дослідження та/або здійснення інновацій та характеризується невизначеністю умов і вимог.</w:t>
      </w:r>
    </w:p>
    <w:p w14:paraId="4B9423B7" w14:textId="77777777" w:rsidR="00E44313" w:rsidRPr="00016DCA" w:rsidRDefault="00E44313" w:rsidP="00182A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Загальні компетентності (ЗК):</w:t>
      </w:r>
    </w:p>
    <w:p w14:paraId="0D2B1394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ЗК1</w:t>
      </w:r>
      <w:r w:rsidRPr="00016DCA">
        <w:rPr>
          <w:rFonts w:ascii="Times New Roman" w:hAnsi="Times New Roman" w:cs="Times New Roman"/>
          <w:sz w:val="24"/>
          <w:szCs w:val="24"/>
        </w:rPr>
        <w:t>. Здатність застосовувати інформаційні та комунікаційні технології.</w:t>
      </w:r>
    </w:p>
    <w:p w14:paraId="489ABE0D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ЗК3</w:t>
      </w:r>
      <w:r w:rsidRPr="00016DCA">
        <w:rPr>
          <w:rFonts w:ascii="Times New Roman" w:hAnsi="Times New Roman" w:cs="Times New Roman"/>
          <w:sz w:val="24"/>
          <w:szCs w:val="24"/>
        </w:rPr>
        <w:t>. Здатність до пошуку, оброблення та аналізу інформації з різних джерел.</w:t>
      </w:r>
    </w:p>
    <w:p w14:paraId="7379D5C8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ЗК4</w:t>
      </w:r>
      <w:r w:rsidRPr="00016DCA">
        <w:rPr>
          <w:rFonts w:ascii="Times New Roman" w:hAnsi="Times New Roman" w:cs="Times New Roman"/>
          <w:sz w:val="24"/>
          <w:szCs w:val="24"/>
        </w:rPr>
        <w:t>. Здатність бути критичним та самокритичним.</w:t>
      </w:r>
    </w:p>
    <w:p w14:paraId="240B4A6D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ЗК10</w:t>
      </w:r>
      <w:r w:rsidRPr="00016DCA">
        <w:rPr>
          <w:rFonts w:ascii="Times New Roman" w:hAnsi="Times New Roman" w:cs="Times New Roman"/>
          <w:sz w:val="24"/>
          <w:szCs w:val="24"/>
        </w:rPr>
        <w:t>. Здатність проводити дослідження на відповідному рівні.</w:t>
      </w:r>
    </w:p>
    <w:p w14:paraId="6032F94F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Спеціальні (фахові, предметні) компетентності (СК)</w:t>
      </w:r>
    </w:p>
    <w:p w14:paraId="1E933101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СК3</w:t>
      </w:r>
      <w:r w:rsidRPr="00016DCA">
        <w:rPr>
          <w:rFonts w:ascii="Times New Roman" w:hAnsi="Times New Roman" w:cs="Times New Roman"/>
          <w:sz w:val="24"/>
          <w:szCs w:val="24"/>
        </w:rPr>
        <w:t>. Здатність створювати нову техніку і технології в галузі механічної інженерії.</w:t>
      </w:r>
    </w:p>
    <w:p w14:paraId="0FCBBD05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СК4</w:t>
      </w:r>
      <w:r w:rsidRPr="00016DCA">
        <w:rPr>
          <w:rFonts w:ascii="Times New Roman" w:hAnsi="Times New Roman" w:cs="Times New Roman"/>
          <w:sz w:val="24"/>
          <w:szCs w:val="24"/>
        </w:rPr>
        <w:t>. Усвідомлення перспективних завдань сучасного виробництва, спрямованих на задоволення потреб споживачів, володіння тенденціями інноваційного розвитку технологій галузі.</w:t>
      </w:r>
    </w:p>
    <w:p w14:paraId="161F3180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СК6</w:t>
      </w:r>
      <w:r w:rsidRPr="00016DCA">
        <w:rPr>
          <w:rFonts w:ascii="Times New Roman" w:hAnsi="Times New Roman" w:cs="Times New Roman"/>
          <w:sz w:val="24"/>
          <w:szCs w:val="24"/>
        </w:rPr>
        <w:t xml:space="preserve">. Здатність до науково-педагогічної діяльності в закладах вищої,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та фахової освіти.</w:t>
      </w:r>
    </w:p>
    <w:p w14:paraId="45BAB652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СК7</w:t>
      </w:r>
      <w:r w:rsidRPr="00016DCA">
        <w:rPr>
          <w:rFonts w:ascii="Times New Roman" w:hAnsi="Times New Roman" w:cs="Times New Roman"/>
          <w:sz w:val="24"/>
          <w:szCs w:val="24"/>
        </w:rPr>
        <w:t>. Здатність виконувати науково-практичні та прикладні дослідження в машинобудівній галузі.</w:t>
      </w:r>
    </w:p>
    <w:p w14:paraId="26F131D2" w14:textId="77777777" w:rsidR="001804AA" w:rsidRDefault="001804AA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110A74" w14:textId="77777777" w:rsidR="001804AA" w:rsidRDefault="001804AA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CAAA5B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lastRenderedPageBreak/>
        <w:t>Програмні результати навчання (ПРН):</w:t>
      </w:r>
    </w:p>
    <w:p w14:paraId="7FF630F5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РН7</w:t>
      </w:r>
      <w:r w:rsidRPr="00016DCA">
        <w:rPr>
          <w:rFonts w:ascii="Times New Roman" w:hAnsi="Times New Roman" w:cs="Times New Roman"/>
          <w:sz w:val="24"/>
          <w:szCs w:val="24"/>
        </w:rPr>
        <w:t xml:space="preserve">. Готувати виробництво та експлуатувати вироби галузевого машинобудування протягом життєвого циклу. </w:t>
      </w:r>
    </w:p>
    <w:p w14:paraId="22C12749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РН8</w:t>
      </w:r>
      <w:r w:rsidRPr="00016DCA">
        <w:rPr>
          <w:rFonts w:ascii="Times New Roman" w:hAnsi="Times New Roman" w:cs="Times New Roman"/>
          <w:sz w:val="24"/>
          <w:szCs w:val="24"/>
        </w:rPr>
        <w:t>. Планувати і виконувати наукові дослідження у сфері машинобудування, аналізувати їх результати, обґрунтовувати висновки та розуміння механіки і машинобудування та перспектив їхнього розвитку.</w:t>
      </w:r>
    </w:p>
    <w:p w14:paraId="670CCDCB" w14:textId="77777777" w:rsidR="00E44313" w:rsidRPr="00016DCA" w:rsidRDefault="00E44313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-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r w:rsidRPr="00016DCA">
        <w:rPr>
          <w:rFonts w:ascii="Times New Roman" w:hAnsi="Times New Roman" w:cs="Times New Roman"/>
          <w:b/>
          <w:sz w:val="24"/>
          <w:szCs w:val="24"/>
        </w:rPr>
        <w:t>РН9</w:t>
      </w:r>
      <w:r w:rsidRPr="00016DCA">
        <w:rPr>
          <w:rFonts w:ascii="Times New Roman" w:hAnsi="Times New Roman" w:cs="Times New Roman"/>
          <w:sz w:val="24"/>
          <w:szCs w:val="24"/>
        </w:rPr>
        <w:t>. Розробляти і викладати спеціальні навчальні дисципліни в закладах освіти.</w:t>
      </w:r>
    </w:p>
    <w:p w14:paraId="713FE060" w14:textId="77777777" w:rsidR="00C0681F" w:rsidRDefault="00C0681F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8FB7D7" w14:textId="77777777" w:rsidR="00384BBC" w:rsidRDefault="00384BBC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16DCA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СТРУКТУРА КУРСУ</w:t>
      </w:r>
    </w:p>
    <w:p w14:paraId="368C7B6A" w14:textId="77777777" w:rsidR="001804AA" w:rsidRPr="00016DCA" w:rsidRDefault="001804AA" w:rsidP="00182A65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</w:p>
    <w:tbl>
      <w:tblPr>
        <w:tblStyle w:val="a4"/>
        <w:tblW w:w="10272" w:type="dxa"/>
        <w:tblInd w:w="-431" w:type="dxa"/>
        <w:tblLook w:val="04A0" w:firstRow="1" w:lastRow="0" w:firstColumn="1" w:lastColumn="0" w:noHBand="0" w:noVBand="1"/>
      </w:tblPr>
      <w:tblGrid>
        <w:gridCol w:w="2380"/>
        <w:gridCol w:w="1436"/>
        <w:gridCol w:w="19"/>
        <w:gridCol w:w="2331"/>
        <w:gridCol w:w="1946"/>
        <w:gridCol w:w="2160"/>
      </w:tblGrid>
      <w:tr w:rsidR="0028315B" w:rsidRPr="00016DCA" w14:paraId="236BEF99" w14:textId="77777777" w:rsidTr="001804AA">
        <w:trPr>
          <w:trHeight w:val="1802"/>
        </w:trPr>
        <w:tc>
          <w:tcPr>
            <w:tcW w:w="2414" w:type="dxa"/>
            <w:vAlign w:val="center"/>
          </w:tcPr>
          <w:p w14:paraId="46674FD9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Тема</w:t>
            </w:r>
          </w:p>
        </w:tc>
        <w:tc>
          <w:tcPr>
            <w:tcW w:w="1455" w:type="dxa"/>
            <w:gridSpan w:val="2"/>
            <w:vAlign w:val="center"/>
          </w:tcPr>
          <w:p w14:paraId="046F1678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Години</w:t>
            </w:r>
          </w:p>
          <w:p w14:paraId="34BDBCE1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(лекції/</w:t>
            </w:r>
          </w:p>
          <w:p w14:paraId="6E03E1EC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лабораторні роботи/</w:t>
            </w:r>
          </w:p>
          <w:p w14:paraId="25FF00F0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самостійні роботи)</w:t>
            </w:r>
          </w:p>
        </w:tc>
        <w:tc>
          <w:tcPr>
            <w:tcW w:w="2374" w:type="dxa"/>
            <w:vAlign w:val="center"/>
          </w:tcPr>
          <w:p w14:paraId="42D3C7BC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0" w:type="auto"/>
            <w:vAlign w:val="center"/>
          </w:tcPr>
          <w:p w14:paraId="51A25B40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0" w:type="auto"/>
            <w:vAlign w:val="center"/>
          </w:tcPr>
          <w:p w14:paraId="5C938BED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Оцінювання, бали</w:t>
            </w:r>
          </w:p>
        </w:tc>
      </w:tr>
      <w:tr w:rsidR="00E611DC" w:rsidRPr="00016DCA" w14:paraId="112F3417" w14:textId="77777777" w:rsidTr="002F4201">
        <w:trPr>
          <w:trHeight w:val="416"/>
        </w:trPr>
        <w:tc>
          <w:tcPr>
            <w:tcW w:w="10272" w:type="dxa"/>
            <w:gridSpan w:val="6"/>
            <w:vAlign w:val="center"/>
          </w:tcPr>
          <w:p w14:paraId="7ED374A7" w14:textId="77777777" w:rsidR="00E611DC" w:rsidRPr="00016DCA" w:rsidRDefault="00E611D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№1.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Основи</w:t>
            </w:r>
            <w:r w:rsidRPr="00016D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організації</w:t>
            </w:r>
            <w:r w:rsidRPr="00016D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016DCA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методології</w:t>
            </w:r>
            <w:r w:rsidRPr="00016DC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наукових</w:t>
            </w:r>
            <w:r w:rsidRPr="00016DC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досліджень</w:t>
            </w:r>
          </w:p>
        </w:tc>
      </w:tr>
      <w:tr w:rsidR="002F4201" w:rsidRPr="00016DCA" w14:paraId="709D70D6" w14:textId="77777777" w:rsidTr="001804AA">
        <w:tc>
          <w:tcPr>
            <w:tcW w:w="2414" w:type="dxa"/>
            <w:vAlign w:val="center"/>
          </w:tcPr>
          <w:p w14:paraId="5AEE0EED" w14:textId="77777777" w:rsidR="00CB038C" w:rsidRPr="00016DCA" w:rsidRDefault="00CB038C" w:rsidP="00182A65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Тема 1</w:t>
            </w:r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. Основні поняття наукових досліджень</w:t>
            </w:r>
          </w:p>
        </w:tc>
        <w:tc>
          <w:tcPr>
            <w:tcW w:w="1455" w:type="dxa"/>
            <w:gridSpan w:val="2"/>
            <w:vAlign w:val="center"/>
          </w:tcPr>
          <w:p w14:paraId="79BF7941" w14:textId="77777777" w:rsidR="00CB038C" w:rsidRPr="00016DCA" w:rsidRDefault="00CB038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2/2/12</w:t>
            </w:r>
          </w:p>
        </w:tc>
        <w:tc>
          <w:tcPr>
            <w:tcW w:w="2374" w:type="dxa"/>
            <w:vAlign w:val="center"/>
          </w:tcPr>
          <w:p w14:paraId="419BA6AD" w14:textId="77777777" w:rsidR="00CB038C" w:rsidRPr="00016DCA" w:rsidRDefault="00334D0B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="00FA7055"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основн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 w:rsidR="00FA7055"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термінами та поняттями в наукових дослідженнях</w:t>
            </w:r>
          </w:p>
        </w:tc>
        <w:tc>
          <w:tcPr>
            <w:tcW w:w="0" w:type="auto"/>
            <w:vAlign w:val="center"/>
          </w:tcPr>
          <w:p w14:paraId="0B5622A0" w14:textId="77777777" w:rsidR="002F4201" w:rsidRPr="00016DCA" w:rsidRDefault="00CB038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  <w:r w:rsidR="00C210E0"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27B1D8F" w14:textId="77777777" w:rsidR="00CB038C" w:rsidRPr="00016DCA" w:rsidRDefault="00C210E0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4829AAB9" w14:textId="77777777" w:rsidR="00CB038C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18768C2" w14:textId="77777777" w:rsidR="00C210E0" w:rsidRPr="00016DCA" w:rsidRDefault="00C210E0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A9406" w14:textId="77777777" w:rsidR="00C210E0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16DCA" w:rsidRPr="00016DCA" w14:paraId="7D300D24" w14:textId="77777777" w:rsidTr="001804AA">
        <w:trPr>
          <w:trHeight w:val="1810"/>
        </w:trPr>
        <w:tc>
          <w:tcPr>
            <w:tcW w:w="2414" w:type="dxa"/>
            <w:vAlign w:val="center"/>
          </w:tcPr>
          <w:p w14:paraId="62FEB20F" w14:textId="77777777" w:rsidR="006D2041" w:rsidRPr="00016DCA" w:rsidRDefault="006D2041" w:rsidP="00182A65">
            <w:pPr>
              <w:pStyle w:val="TableParagraph"/>
              <w:ind w:right="201" w:firstLine="176"/>
              <w:rPr>
                <w:b/>
                <w:iCs/>
                <w:sz w:val="24"/>
                <w:szCs w:val="24"/>
              </w:rPr>
            </w:pPr>
            <w:r w:rsidRPr="00016DCA">
              <w:rPr>
                <w:b/>
                <w:iCs/>
                <w:sz w:val="24"/>
                <w:szCs w:val="24"/>
              </w:rPr>
              <w:t>Тема 2</w:t>
            </w:r>
            <w:r w:rsidRPr="00016DCA">
              <w:rPr>
                <w:iCs/>
                <w:sz w:val="24"/>
                <w:szCs w:val="24"/>
              </w:rPr>
              <w:t xml:space="preserve">. </w:t>
            </w:r>
            <w:r w:rsidRPr="00016DCA">
              <w:rPr>
                <w:sz w:val="24"/>
                <w:szCs w:val="24"/>
              </w:rPr>
              <w:t>Інформаційна</w:t>
            </w:r>
            <w:r w:rsidRPr="00016DCA">
              <w:rPr>
                <w:spacing w:val="-15"/>
                <w:sz w:val="24"/>
                <w:szCs w:val="24"/>
              </w:rPr>
              <w:t xml:space="preserve"> </w:t>
            </w:r>
            <w:r w:rsidRPr="00016DCA">
              <w:rPr>
                <w:sz w:val="24"/>
                <w:szCs w:val="24"/>
              </w:rPr>
              <w:t xml:space="preserve">база </w:t>
            </w:r>
            <w:r w:rsidRPr="00016DCA">
              <w:rPr>
                <w:spacing w:val="-2"/>
                <w:sz w:val="24"/>
                <w:szCs w:val="24"/>
              </w:rPr>
              <w:t xml:space="preserve">наукового дослідження / </w:t>
            </w:r>
            <w:proofErr w:type="spellStart"/>
            <w:r w:rsidRPr="00016DCA">
              <w:rPr>
                <w:spacing w:val="-2"/>
                <w:sz w:val="24"/>
                <w:szCs w:val="24"/>
              </w:rPr>
              <w:t>Information</w:t>
            </w:r>
            <w:proofErr w:type="spellEnd"/>
            <w:r w:rsidRPr="00016DC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6DCA">
              <w:rPr>
                <w:spacing w:val="-2"/>
                <w:sz w:val="24"/>
                <w:szCs w:val="24"/>
              </w:rPr>
              <w:t>base</w:t>
            </w:r>
            <w:proofErr w:type="spellEnd"/>
            <w:r w:rsidRPr="00016DC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6DCA">
              <w:rPr>
                <w:spacing w:val="-2"/>
                <w:sz w:val="24"/>
                <w:szCs w:val="24"/>
              </w:rPr>
              <w:t>of</w:t>
            </w:r>
            <w:proofErr w:type="spellEnd"/>
            <w:r w:rsidRPr="00016DC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6DCA">
              <w:rPr>
                <w:spacing w:val="-2"/>
                <w:sz w:val="24"/>
                <w:szCs w:val="24"/>
              </w:rPr>
              <w:t>scientific</w:t>
            </w:r>
            <w:proofErr w:type="spellEnd"/>
            <w:r w:rsidRPr="00016DCA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16DCA">
              <w:rPr>
                <w:spacing w:val="-2"/>
                <w:sz w:val="24"/>
                <w:szCs w:val="24"/>
              </w:rPr>
              <w:t>research</w:t>
            </w:r>
            <w:proofErr w:type="spellEnd"/>
            <w:r w:rsidRPr="00016DCA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1455" w:type="dxa"/>
            <w:gridSpan w:val="2"/>
            <w:vAlign w:val="center"/>
          </w:tcPr>
          <w:p w14:paraId="6001CE14" w14:textId="77777777" w:rsidR="006D2041" w:rsidRPr="00016DCA" w:rsidRDefault="006D204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2/1/8</w:t>
            </w:r>
          </w:p>
        </w:tc>
        <w:tc>
          <w:tcPr>
            <w:tcW w:w="2374" w:type="dxa"/>
            <w:vAlign w:val="center"/>
          </w:tcPr>
          <w:p w14:paraId="404BACEF" w14:textId="77777777" w:rsidR="006D2041" w:rsidRPr="00016DCA" w:rsidRDefault="00334D0B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Вміти користуватися </w:t>
            </w:r>
            <w:r w:rsidR="0028315B" w:rsidRPr="00016DCA">
              <w:rPr>
                <w:rFonts w:ascii="Times New Roman" w:hAnsi="Times New Roman" w:cs="Times New Roman"/>
                <w:sz w:val="24"/>
                <w:szCs w:val="24"/>
              </w:rPr>
              <w:t>інформаційними базами наукових досліджень</w:t>
            </w:r>
          </w:p>
        </w:tc>
        <w:tc>
          <w:tcPr>
            <w:tcW w:w="0" w:type="auto"/>
            <w:vAlign w:val="center"/>
          </w:tcPr>
          <w:p w14:paraId="3236143B" w14:textId="77777777" w:rsidR="002F4201" w:rsidRPr="00016DCA" w:rsidRDefault="006D204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5FB2F93E" w14:textId="77777777" w:rsidR="006D2041" w:rsidRPr="00016DCA" w:rsidRDefault="006D204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7010A93F" w14:textId="77777777" w:rsidR="006D2041" w:rsidRPr="00016DCA" w:rsidRDefault="006D204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A39BB0A" w14:textId="77777777" w:rsidR="006D2041" w:rsidRPr="00016DCA" w:rsidRDefault="006D204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950DE" w14:textId="77777777" w:rsidR="006D2041" w:rsidRPr="00016DCA" w:rsidRDefault="006D204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04AA" w:rsidRPr="00016DCA" w14:paraId="125B7D14" w14:textId="77777777" w:rsidTr="001804AA">
        <w:trPr>
          <w:trHeight w:val="1656"/>
        </w:trPr>
        <w:tc>
          <w:tcPr>
            <w:tcW w:w="2414" w:type="dxa"/>
            <w:vAlign w:val="center"/>
          </w:tcPr>
          <w:p w14:paraId="37751CA2" w14:textId="77777777" w:rsidR="007C66D2" w:rsidRPr="00016DCA" w:rsidRDefault="007C66D2" w:rsidP="00182A65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3. </w:t>
            </w:r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Теоретичні дослідження / </w:t>
            </w:r>
            <w:proofErr w:type="spellStart"/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Theoretical</w:t>
            </w:r>
            <w:proofErr w:type="spellEnd"/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studies</w:t>
            </w:r>
            <w:proofErr w:type="spellEnd"/>
          </w:p>
        </w:tc>
        <w:tc>
          <w:tcPr>
            <w:tcW w:w="1455" w:type="dxa"/>
            <w:gridSpan w:val="2"/>
            <w:vAlign w:val="center"/>
          </w:tcPr>
          <w:p w14:paraId="22D844C0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1/2/8</w:t>
            </w:r>
          </w:p>
        </w:tc>
        <w:tc>
          <w:tcPr>
            <w:tcW w:w="2374" w:type="dxa"/>
            <w:vAlign w:val="center"/>
          </w:tcPr>
          <w:p w14:paraId="5DD241AE" w14:textId="77777777" w:rsidR="007C66D2" w:rsidRPr="00016DCA" w:rsidRDefault="0028315B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Знати основні теоретичні дослідження в </w:t>
            </w:r>
            <w:r w:rsidR="001B348D" w:rsidRPr="00016DCA">
              <w:rPr>
                <w:rFonts w:ascii="Times New Roman" w:hAnsi="Times New Roman" w:cs="Times New Roman"/>
                <w:sz w:val="24"/>
                <w:szCs w:val="24"/>
              </w:rPr>
              <w:t>науковій роботі</w:t>
            </w:r>
          </w:p>
        </w:tc>
        <w:tc>
          <w:tcPr>
            <w:tcW w:w="0" w:type="auto"/>
            <w:vAlign w:val="center"/>
          </w:tcPr>
          <w:p w14:paraId="662E986F" w14:textId="77777777" w:rsidR="00A62D59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249ACD91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61CCF516" w14:textId="77777777" w:rsidR="007C66D2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EE33CCA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FC529" w14:textId="77777777" w:rsidR="007C66D2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804AA" w:rsidRPr="00016DCA" w14:paraId="70A58F4E" w14:textId="77777777" w:rsidTr="001804AA">
        <w:trPr>
          <w:trHeight w:val="1656"/>
        </w:trPr>
        <w:tc>
          <w:tcPr>
            <w:tcW w:w="2414" w:type="dxa"/>
            <w:vAlign w:val="center"/>
          </w:tcPr>
          <w:p w14:paraId="5ADA312B" w14:textId="77777777" w:rsidR="007C66D2" w:rsidRPr="00016DCA" w:rsidRDefault="007C66D2" w:rsidP="00182A65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4. </w:t>
            </w:r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Педагогіка як наука</w:t>
            </w:r>
          </w:p>
        </w:tc>
        <w:tc>
          <w:tcPr>
            <w:tcW w:w="1455" w:type="dxa"/>
            <w:gridSpan w:val="2"/>
            <w:vAlign w:val="center"/>
          </w:tcPr>
          <w:p w14:paraId="7F9D34B4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2/2/12</w:t>
            </w:r>
          </w:p>
        </w:tc>
        <w:tc>
          <w:tcPr>
            <w:tcW w:w="2374" w:type="dxa"/>
            <w:vAlign w:val="center"/>
          </w:tcPr>
          <w:p w14:paraId="4CFBE7C8" w14:textId="77777777" w:rsidR="007C66D2" w:rsidRPr="00016DCA" w:rsidRDefault="001B348D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Знати що </w:t>
            </w:r>
            <w:r w:rsidR="008418D4" w:rsidRPr="00016DCA">
              <w:rPr>
                <w:rFonts w:ascii="Times New Roman" w:hAnsi="Times New Roman" w:cs="Times New Roman"/>
                <w:sz w:val="24"/>
                <w:szCs w:val="24"/>
              </w:rPr>
              <w:t>собою представляє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 педагогіка  в науці.</w:t>
            </w:r>
          </w:p>
          <w:p w14:paraId="76F7D060" w14:textId="77777777" w:rsidR="001B348D" w:rsidRPr="00016DCA" w:rsidRDefault="001B348D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Її вклад в розвиток навчального процесу</w:t>
            </w:r>
          </w:p>
        </w:tc>
        <w:tc>
          <w:tcPr>
            <w:tcW w:w="0" w:type="auto"/>
            <w:vAlign w:val="center"/>
          </w:tcPr>
          <w:p w14:paraId="1C01E239" w14:textId="77777777" w:rsidR="002F4201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Здача лабораторних робіт. </w:t>
            </w:r>
          </w:p>
          <w:p w14:paraId="0F505530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17E0D9EC" w14:textId="77777777" w:rsidR="007C66D2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814F127" w14:textId="77777777" w:rsidR="002F4201" w:rsidRPr="00016DCA" w:rsidRDefault="002F420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42468" w14:textId="77777777" w:rsidR="007C66D2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2041" w:rsidRPr="00016DCA" w14:paraId="3C077B23" w14:textId="77777777" w:rsidTr="001804AA">
        <w:trPr>
          <w:trHeight w:val="1656"/>
        </w:trPr>
        <w:tc>
          <w:tcPr>
            <w:tcW w:w="2414" w:type="dxa"/>
            <w:vAlign w:val="center"/>
          </w:tcPr>
          <w:p w14:paraId="1A77A843" w14:textId="77777777" w:rsidR="007C66D2" w:rsidRPr="00016DCA" w:rsidRDefault="007C66D2" w:rsidP="00182A65">
            <w:pPr>
              <w:spacing w:after="0" w:line="240" w:lineRule="auto"/>
              <w:ind w:firstLine="176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5.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Зміст освіти і зміст навчання у сучасній вищій школі</w:t>
            </w:r>
          </w:p>
        </w:tc>
        <w:tc>
          <w:tcPr>
            <w:tcW w:w="1455" w:type="dxa"/>
            <w:gridSpan w:val="2"/>
            <w:vAlign w:val="center"/>
          </w:tcPr>
          <w:p w14:paraId="7B7ECECE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2/2/12</w:t>
            </w:r>
          </w:p>
        </w:tc>
        <w:tc>
          <w:tcPr>
            <w:tcW w:w="2374" w:type="dxa"/>
            <w:vAlign w:val="center"/>
          </w:tcPr>
          <w:p w14:paraId="4AD0A514" w14:textId="77777777" w:rsidR="007C66D2" w:rsidRPr="00016DCA" w:rsidRDefault="00AE677A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Вміти складати зміст навчальних дисциплін</w:t>
            </w:r>
          </w:p>
        </w:tc>
        <w:tc>
          <w:tcPr>
            <w:tcW w:w="0" w:type="auto"/>
            <w:vAlign w:val="center"/>
          </w:tcPr>
          <w:p w14:paraId="4159CE00" w14:textId="77777777" w:rsidR="002F4201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2D40B8C2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26FCAD64" w14:textId="77777777" w:rsidR="007C66D2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69490AC" w14:textId="77777777" w:rsidR="007C66D2" w:rsidRPr="00016DCA" w:rsidRDefault="007C66D2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7EEAEE" w14:textId="77777777" w:rsidR="007C66D2" w:rsidRPr="00016DCA" w:rsidRDefault="00F60A0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34D0B" w:rsidRPr="00016DCA" w14:paraId="249ADED4" w14:textId="77777777" w:rsidTr="001804AA">
        <w:trPr>
          <w:trHeight w:val="614"/>
        </w:trPr>
        <w:tc>
          <w:tcPr>
            <w:tcW w:w="2414" w:type="dxa"/>
            <w:vAlign w:val="center"/>
          </w:tcPr>
          <w:p w14:paraId="060BBCEB" w14:textId="77777777" w:rsidR="00E611DC" w:rsidRPr="00016DCA" w:rsidRDefault="00394FE5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модулем 1</w:t>
            </w:r>
          </w:p>
        </w:tc>
        <w:tc>
          <w:tcPr>
            <w:tcW w:w="1455" w:type="dxa"/>
            <w:gridSpan w:val="2"/>
            <w:vAlign w:val="center"/>
          </w:tcPr>
          <w:p w14:paraId="0B5B36A0" w14:textId="77777777" w:rsidR="00E611DC" w:rsidRPr="00016DCA" w:rsidRDefault="00C62A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9/9/52</w:t>
            </w:r>
          </w:p>
        </w:tc>
        <w:tc>
          <w:tcPr>
            <w:tcW w:w="2374" w:type="dxa"/>
            <w:vAlign w:val="center"/>
          </w:tcPr>
          <w:p w14:paraId="454B54E4" w14:textId="77777777" w:rsidR="00E611DC" w:rsidRPr="00016DCA" w:rsidRDefault="00C62A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6049494" w14:textId="77777777" w:rsidR="00E611DC" w:rsidRPr="00016DCA" w:rsidRDefault="00C62A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28C4E53B" w14:textId="77777777" w:rsidR="00E611DC" w:rsidRPr="00016DCA" w:rsidRDefault="00C62A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62ABC" w:rsidRPr="00016DCA" w14:paraId="4C10DCDD" w14:textId="77777777" w:rsidTr="002F4201">
        <w:tc>
          <w:tcPr>
            <w:tcW w:w="10272" w:type="dxa"/>
            <w:gridSpan w:val="6"/>
            <w:vAlign w:val="center"/>
          </w:tcPr>
          <w:p w14:paraId="64632F0C" w14:textId="77777777" w:rsidR="00C62ABC" w:rsidRPr="00016DCA" w:rsidRDefault="00C62A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Змістовий модуль 2. 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Проведення</w:t>
            </w:r>
            <w:r w:rsidRPr="00016DCA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016DCA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способи</w:t>
            </w:r>
            <w:r w:rsidRPr="00016DCA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представлення</w:t>
            </w:r>
            <w:r w:rsidRPr="00016DCA">
              <w:rPr>
                <w:rFonts w:ascii="Times New Roman" w:eastAsia="Times New Roman" w:hAnsi="Times New Roman" w:cs="Times New Roman"/>
                <w:spacing w:val="80"/>
                <w:w w:val="150"/>
                <w:sz w:val="24"/>
                <w:szCs w:val="24"/>
              </w:rPr>
              <w:t xml:space="preserve"> 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результатів експериментальних досліджень</w:t>
            </w:r>
          </w:p>
        </w:tc>
      </w:tr>
      <w:tr w:rsidR="00334D0B" w:rsidRPr="00016DCA" w14:paraId="26D2B52C" w14:textId="77777777" w:rsidTr="001804AA">
        <w:tc>
          <w:tcPr>
            <w:tcW w:w="2414" w:type="dxa"/>
            <w:vAlign w:val="center"/>
          </w:tcPr>
          <w:p w14:paraId="3DF5EDA4" w14:textId="77777777" w:rsidR="00384BBC" w:rsidRPr="00016DCA" w:rsidRDefault="00384BBC" w:rsidP="00182A65">
            <w:pPr>
              <w:spacing w:after="0" w:line="240" w:lineRule="auto"/>
              <w:ind w:left="-108" w:firstLine="21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 xml:space="preserve">Тема </w:t>
            </w:r>
            <w:r w:rsidR="00AF4355"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</w:t>
            </w: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. </w:t>
            </w:r>
            <w:r w:rsidR="00AF4355" w:rsidRPr="00016D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Планування експериментальних досліджень. Оптимізація об</w:t>
            </w:r>
            <w:r w:rsidR="00AE677A" w:rsidRPr="00016D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’</w:t>
            </w:r>
            <w:r w:rsidR="00AF4355" w:rsidRPr="00016D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єктів досліджень</w:t>
            </w:r>
          </w:p>
        </w:tc>
        <w:tc>
          <w:tcPr>
            <w:tcW w:w="1455" w:type="dxa"/>
            <w:gridSpan w:val="2"/>
            <w:vAlign w:val="center"/>
          </w:tcPr>
          <w:p w14:paraId="1EAA80E0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40DEB" w:rsidRPr="0001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40DEB" w:rsidRPr="00016D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  <w:vAlign w:val="center"/>
          </w:tcPr>
          <w:p w14:paraId="0E1ED21E" w14:textId="77777777" w:rsidR="00384BBC" w:rsidRPr="00016DCA" w:rsidRDefault="00AE677A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Знати </w:t>
            </w:r>
            <w:r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як і вміти планувати </w:t>
            </w:r>
            <w:proofErr w:type="spellStart"/>
            <w:r w:rsidR="00F97A34"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>однофакторні</w:t>
            </w:r>
            <w:proofErr w:type="spellEnd"/>
            <w:r w:rsidR="00F97A34" w:rsidRPr="00016DC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та багатофакторні експерименти</w:t>
            </w:r>
          </w:p>
        </w:tc>
        <w:tc>
          <w:tcPr>
            <w:tcW w:w="0" w:type="auto"/>
            <w:vAlign w:val="center"/>
          </w:tcPr>
          <w:p w14:paraId="4F6F79FA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02A744B0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6602D7BF" w14:textId="77777777" w:rsidR="00384BBC" w:rsidRPr="00016DCA" w:rsidRDefault="00937B67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61BA2FE" w14:textId="77777777" w:rsidR="00F40191" w:rsidRPr="00016DCA" w:rsidRDefault="00F40191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8A445" w14:textId="77777777" w:rsidR="00F40191" w:rsidRPr="00016DCA" w:rsidRDefault="001B243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34D0B" w:rsidRPr="00016DCA" w14:paraId="0CC6878D" w14:textId="77777777" w:rsidTr="001804AA">
        <w:trPr>
          <w:trHeight w:val="2510"/>
        </w:trPr>
        <w:tc>
          <w:tcPr>
            <w:tcW w:w="2414" w:type="dxa"/>
            <w:vAlign w:val="center"/>
          </w:tcPr>
          <w:p w14:paraId="7C7D251C" w14:textId="77777777" w:rsidR="00384BBC" w:rsidRPr="00016DCA" w:rsidRDefault="00B40DEB" w:rsidP="00182A65">
            <w:pPr>
              <w:spacing w:after="0" w:line="240" w:lineRule="auto"/>
              <w:ind w:left="-108" w:firstLine="21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7.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Процес навчання, його структура. Дидактика</w:t>
            </w:r>
          </w:p>
        </w:tc>
        <w:tc>
          <w:tcPr>
            <w:tcW w:w="1455" w:type="dxa"/>
            <w:gridSpan w:val="2"/>
            <w:vAlign w:val="center"/>
          </w:tcPr>
          <w:p w14:paraId="680591FD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</w:t>
            </w:r>
            <w:r w:rsidR="00B40DEB" w:rsidRPr="0001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B40DEB" w:rsidRPr="00016D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  <w:vAlign w:val="center"/>
          </w:tcPr>
          <w:p w14:paraId="38BE89A0" w14:textId="77777777" w:rsidR="00384BBC" w:rsidRPr="00016DCA" w:rsidRDefault="00F97A34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Вміти керувати навчальним процесом. Володіння </w:t>
            </w:r>
            <w:r w:rsidR="002A1A29"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загально теорією навчання </w:t>
            </w:r>
          </w:p>
        </w:tc>
        <w:tc>
          <w:tcPr>
            <w:tcW w:w="0" w:type="auto"/>
            <w:vAlign w:val="center"/>
          </w:tcPr>
          <w:p w14:paraId="00B29C7D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5F2A2753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Виконання </w:t>
            </w:r>
            <w:r w:rsidR="00356B46" w:rsidRPr="00016DCA">
              <w:rPr>
                <w:rFonts w:ascii="Times New Roman" w:hAnsi="Times New Roman" w:cs="Times New Roman"/>
                <w:sz w:val="24"/>
                <w:szCs w:val="24"/>
              </w:rPr>
              <w:t>самостійних робіт.</w:t>
            </w:r>
          </w:p>
        </w:tc>
        <w:tc>
          <w:tcPr>
            <w:tcW w:w="0" w:type="auto"/>
            <w:vAlign w:val="center"/>
          </w:tcPr>
          <w:p w14:paraId="6F3372AB" w14:textId="77777777" w:rsidR="00384BBC" w:rsidRPr="00016DCA" w:rsidRDefault="001B243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23C2F56C" w14:textId="77777777" w:rsidR="00356B46" w:rsidRPr="00016DCA" w:rsidRDefault="00356B46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DE7E9" w14:textId="77777777" w:rsidR="00356B46" w:rsidRPr="00016DCA" w:rsidRDefault="001B243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F4201" w:rsidRPr="00016DCA" w14:paraId="01533B09" w14:textId="77777777" w:rsidTr="001804AA">
        <w:trPr>
          <w:trHeight w:val="2104"/>
        </w:trPr>
        <w:tc>
          <w:tcPr>
            <w:tcW w:w="2414" w:type="dxa"/>
            <w:vAlign w:val="center"/>
          </w:tcPr>
          <w:p w14:paraId="374ADEA6" w14:textId="77777777" w:rsidR="0022793E" w:rsidRPr="00016DCA" w:rsidRDefault="0022793E" w:rsidP="00182A65">
            <w:pPr>
              <w:spacing w:after="0" w:line="240" w:lineRule="auto"/>
              <w:ind w:left="-108" w:right="261" w:firstLine="215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Тема 8. </w:t>
            </w:r>
            <w:r w:rsidRPr="00016DCA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Вивчення, використання та поширення передового педагогічного досвіду</w:t>
            </w:r>
          </w:p>
        </w:tc>
        <w:tc>
          <w:tcPr>
            <w:tcW w:w="1455" w:type="dxa"/>
            <w:gridSpan w:val="2"/>
            <w:vAlign w:val="center"/>
          </w:tcPr>
          <w:p w14:paraId="4E4C6982" w14:textId="77777777" w:rsidR="0022793E" w:rsidRPr="00016DCA" w:rsidRDefault="0022793E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2/2/16</w:t>
            </w:r>
          </w:p>
        </w:tc>
        <w:tc>
          <w:tcPr>
            <w:tcW w:w="2374" w:type="dxa"/>
            <w:vAlign w:val="center"/>
          </w:tcPr>
          <w:p w14:paraId="64788CF2" w14:textId="77777777" w:rsidR="0022793E" w:rsidRPr="00016DCA" w:rsidRDefault="00B51EE8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 xml:space="preserve">Вміти використовувати передовий педагогічний досвід в науковій сфері. </w:t>
            </w:r>
          </w:p>
        </w:tc>
        <w:tc>
          <w:tcPr>
            <w:tcW w:w="0" w:type="auto"/>
            <w:vAlign w:val="center"/>
          </w:tcPr>
          <w:p w14:paraId="7FC40F41" w14:textId="77777777" w:rsidR="00356B46" w:rsidRPr="00016DCA" w:rsidRDefault="00356B46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Здача лабораторних робіт.</w:t>
            </w:r>
          </w:p>
          <w:p w14:paraId="1F8A2DAC" w14:textId="77777777" w:rsidR="0022793E" w:rsidRPr="00016DCA" w:rsidRDefault="00356B46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Виконання самостійних робіт.</w:t>
            </w:r>
          </w:p>
        </w:tc>
        <w:tc>
          <w:tcPr>
            <w:tcW w:w="0" w:type="auto"/>
            <w:vAlign w:val="center"/>
          </w:tcPr>
          <w:p w14:paraId="1306D91B" w14:textId="77777777" w:rsidR="0022793E" w:rsidRPr="00016DCA" w:rsidRDefault="001B243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8C3AE70" w14:textId="77777777" w:rsidR="00356B46" w:rsidRPr="00016DCA" w:rsidRDefault="00356B46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7B90E" w14:textId="77777777" w:rsidR="00356B46" w:rsidRPr="00016DCA" w:rsidRDefault="001B243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28315B" w:rsidRPr="00016DCA" w14:paraId="0D172515" w14:textId="77777777" w:rsidTr="001804AA">
        <w:tc>
          <w:tcPr>
            <w:tcW w:w="2414" w:type="dxa"/>
            <w:vAlign w:val="center"/>
          </w:tcPr>
          <w:p w14:paraId="710C7FCA" w14:textId="77777777" w:rsidR="003E75D5" w:rsidRPr="00016DCA" w:rsidRDefault="003E75D5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Всього за модулем 2</w:t>
            </w:r>
          </w:p>
        </w:tc>
        <w:tc>
          <w:tcPr>
            <w:tcW w:w="1455" w:type="dxa"/>
            <w:gridSpan w:val="2"/>
            <w:vAlign w:val="center"/>
          </w:tcPr>
          <w:p w14:paraId="078F5914" w14:textId="77777777" w:rsidR="003E75D5" w:rsidRPr="00016DCA" w:rsidRDefault="003E75D5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6/6/38</w:t>
            </w:r>
          </w:p>
        </w:tc>
        <w:tc>
          <w:tcPr>
            <w:tcW w:w="2374" w:type="dxa"/>
            <w:vAlign w:val="center"/>
          </w:tcPr>
          <w:p w14:paraId="21591A7A" w14:textId="77777777" w:rsidR="003E75D5" w:rsidRPr="00016DCA" w:rsidRDefault="003E75D5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7259755C" w14:textId="77777777" w:rsidR="003E75D5" w:rsidRPr="00016DCA" w:rsidRDefault="003E75D5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6CF84FB8" w14:textId="77777777" w:rsidR="003E75D5" w:rsidRPr="00016DCA" w:rsidRDefault="003E75D5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DE0EBA" w:rsidRPr="00016DCA" w14:paraId="555B8A82" w14:textId="77777777" w:rsidTr="001804AA">
        <w:tc>
          <w:tcPr>
            <w:tcW w:w="8225" w:type="dxa"/>
            <w:gridSpan w:val="5"/>
            <w:vAlign w:val="center"/>
          </w:tcPr>
          <w:p w14:paraId="4BF64502" w14:textId="77777777" w:rsidR="00DE0EBA" w:rsidRPr="00016DCA" w:rsidRDefault="00DE0EBA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навчальну роботу</w:t>
            </w:r>
          </w:p>
        </w:tc>
        <w:tc>
          <w:tcPr>
            <w:tcW w:w="0" w:type="auto"/>
            <w:vAlign w:val="center"/>
          </w:tcPr>
          <w:p w14:paraId="41C24846" w14:textId="77777777" w:rsidR="00DE0EBA" w:rsidRPr="00016DCA" w:rsidRDefault="00DE0EBA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  <w:tr w:rsidR="00016DCA" w:rsidRPr="00016DCA" w14:paraId="0CFA9E5E" w14:textId="77777777" w:rsidTr="001804AA">
        <w:tc>
          <w:tcPr>
            <w:tcW w:w="8225" w:type="dxa"/>
            <w:gridSpan w:val="5"/>
            <w:vAlign w:val="center"/>
          </w:tcPr>
          <w:p w14:paraId="33DD7857" w14:textId="77777777" w:rsidR="00384BBC" w:rsidRPr="00016DCA" w:rsidRDefault="00C0681F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0" w:type="auto"/>
            <w:vAlign w:val="center"/>
          </w:tcPr>
          <w:p w14:paraId="525E76A6" w14:textId="77777777" w:rsidR="00384BBC" w:rsidRPr="00016DCA" w:rsidRDefault="00384BBC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28315B" w:rsidRPr="00016DCA" w14:paraId="7ADD40AD" w14:textId="77777777" w:rsidTr="001804AA">
        <w:tc>
          <w:tcPr>
            <w:tcW w:w="2414" w:type="dxa"/>
            <w:vAlign w:val="center"/>
          </w:tcPr>
          <w:p w14:paraId="059A2A62" w14:textId="77777777" w:rsidR="00DE0EBA" w:rsidRPr="00016DCA" w:rsidRDefault="00DE0EBA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к</w:t>
            </w:r>
            <w:r w:rsidR="0058438E"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урс</w:t>
            </w:r>
          </w:p>
        </w:tc>
        <w:tc>
          <w:tcPr>
            <w:tcW w:w="1436" w:type="dxa"/>
            <w:vAlign w:val="center"/>
          </w:tcPr>
          <w:p w14:paraId="0658A7DA" w14:textId="77777777" w:rsidR="00DE0EBA" w:rsidRPr="00016DCA" w:rsidRDefault="0058438E" w:rsidP="00182A6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15/15/90</w:t>
            </w:r>
          </w:p>
        </w:tc>
        <w:tc>
          <w:tcPr>
            <w:tcW w:w="2393" w:type="dxa"/>
            <w:gridSpan w:val="2"/>
            <w:vAlign w:val="center"/>
          </w:tcPr>
          <w:p w14:paraId="122C1D28" w14:textId="77777777" w:rsidR="00DE0EBA" w:rsidRPr="00016DCA" w:rsidRDefault="0058438E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982" w:type="dxa"/>
            <w:vAlign w:val="center"/>
          </w:tcPr>
          <w:p w14:paraId="41673B88" w14:textId="77777777" w:rsidR="00DE0EBA" w:rsidRPr="00016DCA" w:rsidRDefault="0058438E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vAlign w:val="center"/>
          </w:tcPr>
          <w:p w14:paraId="3063AC7F" w14:textId="77777777" w:rsidR="00DE0EBA" w:rsidRPr="00016DCA" w:rsidRDefault="00DE0EBA" w:rsidP="00182A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6DCA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14:paraId="15072410" w14:textId="77777777" w:rsidR="00384BBC" w:rsidRPr="00016DCA" w:rsidRDefault="00384BBC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FF2CFD" w14:textId="77777777" w:rsidR="00016DCA" w:rsidRPr="00016DCA" w:rsidRDefault="00016DCA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6DC212" w14:textId="77777777" w:rsidR="00016DCA" w:rsidRPr="00016DCA" w:rsidRDefault="00016DCA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DCA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  <w:t>ПОЛІТИКА ОЦІНЮВАННЯ</w:t>
      </w:r>
    </w:p>
    <w:p w14:paraId="7ABB1669" w14:textId="77777777" w:rsidR="00016DCA" w:rsidRPr="00016DCA" w:rsidRDefault="00016DCA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0349" w:type="dxa"/>
        <w:tblInd w:w="-4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8"/>
        <w:gridCol w:w="7371"/>
      </w:tblGrid>
      <w:tr w:rsidR="00016DCA" w:rsidRPr="00016DCA" w14:paraId="688E2EF6" w14:textId="77777777" w:rsidTr="00182A65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AD3B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дедлайнів та перескладання: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DB0A3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поважних причин (наприклад, лікарняний)</w:t>
            </w:r>
          </w:p>
        </w:tc>
      </w:tr>
      <w:tr w:rsidR="00016DCA" w:rsidRPr="00016DCA" w14:paraId="204F68FA" w14:textId="77777777" w:rsidTr="00182A65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AC73BA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академічної доброчесності: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070AD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Списування під час контрольних робіт та екзаменів заборонені (в </w:t>
            </w:r>
            <w:proofErr w:type="spellStart"/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т.ч</w:t>
            </w:r>
            <w:proofErr w:type="spellEnd"/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 із використанням мобільних девайсів). Курсовий проект, лабораторні роботи повинні мати коректні текстові посилання на використану літературу та відповідати завданню на виконання</w:t>
            </w:r>
          </w:p>
        </w:tc>
      </w:tr>
      <w:tr w:rsidR="00016DCA" w:rsidRPr="00016DCA" w14:paraId="43F6B7EE" w14:textId="77777777" w:rsidTr="00182A65"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B0747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uk-UA"/>
              </w:rPr>
              <w:t>Політика щодо відвідування: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2FB13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Відвідування занять є обов’язковим. За об’єктивних причин (наприклад, хвороба, міжнародне стажування)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6AFB0FDB" w14:textId="77777777" w:rsidR="00016DCA" w:rsidRPr="00016DCA" w:rsidRDefault="00016DCA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6DCA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016DCA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  <w:t>ШКАЛА ОЦІНЮВАННЯ СТУДЕНТІВ</w:t>
      </w:r>
    </w:p>
    <w:p w14:paraId="3C9C4210" w14:textId="77777777" w:rsidR="00016DCA" w:rsidRPr="00016DCA" w:rsidRDefault="00016DCA" w:rsidP="00182A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3"/>
        <w:gridCol w:w="2973"/>
        <w:gridCol w:w="3081"/>
      </w:tblGrid>
      <w:tr w:rsidR="00016DCA" w:rsidRPr="00016DCA" w14:paraId="63370DFF" w14:textId="77777777" w:rsidTr="00016DCA"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9F433E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Рейтинг здобувача вищої освіти, бали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37CC9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Оцінка національна за результати складання екзаменів заліків</w:t>
            </w:r>
          </w:p>
        </w:tc>
      </w:tr>
      <w:tr w:rsidR="00016DCA" w:rsidRPr="00016DCA" w14:paraId="155A6D54" w14:textId="77777777" w:rsidTr="00016DCA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0EDD1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04045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екзаменів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E6CA3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заліків</w:t>
            </w:r>
          </w:p>
        </w:tc>
      </w:tr>
      <w:tr w:rsidR="00016DCA" w:rsidRPr="00016DCA" w14:paraId="307FF61F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0E743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4D494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BE012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</w:tr>
      <w:tr w:rsidR="00016DCA" w:rsidRPr="00016DCA" w14:paraId="632CAEDB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1C619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74-89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987D3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C5BDB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CA" w:rsidRPr="00016DCA" w14:paraId="29D5F74C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00A5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60-73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E81CB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6505E" w14:textId="77777777" w:rsidR="00016DCA" w:rsidRPr="00016DCA" w:rsidRDefault="00016DCA" w:rsidP="00182A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16DCA" w:rsidRPr="00016DCA" w14:paraId="17478073" w14:textId="77777777" w:rsidTr="00016DCA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CED96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0-59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35834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8C06" w14:textId="77777777" w:rsidR="00016DCA" w:rsidRPr="00016DCA" w:rsidRDefault="00016DCA" w:rsidP="00182A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6D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</w:tr>
    </w:tbl>
    <w:p w14:paraId="2D176D15" w14:textId="77777777" w:rsidR="00384BBC" w:rsidRPr="00C2043A" w:rsidRDefault="00CD4AF2" w:rsidP="00182A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</w:pPr>
      <w:r w:rsidRPr="00C2043A">
        <w:rPr>
          <w:rFonts w:ascii="Times New Roman" w:eastAsia="Times New Roman" w:hAnsi="Times New Roman" w:cs="Times New Roman"/>
          <w:b/>
          <w:bCs/>
          <w:color w:val="17365D"/>
          <w:sz w:val="24"/>
          <w:szCs w:val="24"/>
          <w:lang w:eastAsia="uk-UA"/>
        </w:rPr>
        <w:lastRenderedPageBreak/>
        <w:t>РЕКОМЕНДОВАНІ ДЖЕРЕЛА ІНФОРМАЦІЇ</w:t>
      </w:r>
    </w:p>
    <w:p w14:paraId="76C08608" w14:textId="77777777" w:rsidR="00384BBC" w:rsidRPr="00016DCA" w:rsidRDefault="00384BBC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E2E514" w14:textId="77777777" w:rsidR="00CD4AF2" w:rsidRPr="00016DCA" w:rsidRDefault="00975C46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Основні</w:t>
      </w:r>
    </w:p>
    <w:p w14:paraId="657B19FD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1.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Маніта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I. Ю.,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Подашевська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О.І. Проблеми і перспективи розвитку інформаційних технологій в сільському господарстві. – Праці ТДАТУ, 2020. –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20, т. 4. – С. 175-185</w:t>
      </w:r>
    </w:p>
    <w:p w14:paraId="3EA0E410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2.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Komar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A. S.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Justification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energy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saving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mechanism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sector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Engineering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management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– 2021. – No1(19). –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7–12.</w:t>
      </w:r>
    </w:p>
    <w:p w14:paraId="3D5A1BE5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3.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Skliar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A.,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Boltyanskyi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B.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cereal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materials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micronizer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fodder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components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preparation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in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animal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husbandry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Modern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Development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Paths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Springer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Nature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Switzerland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AG. – 2019. – Рр. 249-258.</w:t>
      </w:r>
    </w:p>
    <w:p w14:paraId="44ECF11D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4.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Тарєлкін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Ю. П. Методологія наукових досліджень / Ю. П.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Тарєлкін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, В. О.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Цикін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– Суми :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СумДПУ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ім. А. С. Макаренка, 2019. – 194 с.</w:t>
      </w:r>
    </w:p>
    <w:p w14:paraId="50EAC5F8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5.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Стеченко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Д. М., Чмир О. С. Методологія наукових досліджень. –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К.:Знання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, 2021. – 317 с.</w:t>
      </w:r>
    </w:p>
    <w:p w14:paraId="59B98C2A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6.</w:t>
      </w:r>
      <w:r w:rsidRPr="00016DCA">
        <w:rPr>
          <w:rFonts w:ascii="Times New Roman" w:hAnsi="Times New Roman" w:cs="Times New Roman"/>
          <w:sz w:val="24"/>
          <w:szCs w:val="24"/>
        </w:rPr>
        <w:tab/>
        <w:t>Соловйов С. М. Основи наукових досліджень. Навчальний посібник.– К.: Центр учбової літератури, 2021. – 176 с.</w:t>
      </w:r>
    </w:p>
    <w:p w14:paraId="3E4315A1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7.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Рассоха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І. М. Конспект лекцій з навчальної дисципліни «Методологія та організація наукових досліджень. – Х.: ХНАМГ, 2019. – 76 с.</w:t>
      </w:r>
    </w:p>
    <w:p w14:paraId="2EA18A52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44348C" w14:textId="77777777" w:rsidR="00CD4AF2" w:rsidRPr="00016DCA" w:rsidRDefault="00975C46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Допоміжні</w:t>
      </w:r>
    </w:p>
    <w:p w14:paraId="01A0A0A7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1.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Нормативно-правові акти про наукову та науково-технічну діяльність у вищих навчальних закладах України: у 2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/ за ред. Ю. І. Горобця, М. І. Панова. – Х. : Право, 2018. –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Кн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1. – 784 с.</w:t>
      </w:r>
    </w:p>
    <w:p w14:paraId="0A3FC637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2.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Онуфрієнко Г. С. Науковий стиль української мови: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пос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– К. : Центр навчальної літератури, 2019. – 312 с. </w:t>
      </w:r>
    </w:p>
    <w:p w14:paraId="4BA3F184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3.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Основи методології та організації наукових досліджень: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для студентів, курсантів, аспірантів і ад’юнктів / за ред. А. Є.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Конверського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– К. : Центр учбової літератури, 2020. – 352 с.</w:t>
      </w:r>
    </w:p>
    <w:p w14:paraId="6B752982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4.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Основи наукових досліджень у схемах і таблицях :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/ О. П. Кириленко, В. В. Письменний. – Тернопіль : ТНЕУ, 2021. – 228 с.</w:t>
      </w:r>
    </w:p>
    <w:p w14:paraId="08C64C94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5.</w:t>
      </w:r>
      <w:r w:rsidRPr="00016DCA">
        <w:rPr>
          <w:rFonts w:ascii="Times New Roman" w:hAnsi="Times New Roman" w:cs="Times New Roman"/>
          <w:sz w:val="24"/>
          <w:szCs w:val="24"/>
        </w:rPr>
        <w:tab/>
        <w:t>П’ятницька-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Позднякова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І. С. Основи наукових досліджень у вищій школі: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посібник. – К.: Центр навчальної літератури, 2020. – 116 с.</w:t>
      </w:r>
    </w:p>
    <w:p w14:paraId="3A74700E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6.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Павленко В. В. Проблемні ситуації: поняття і типи / В. В. Павленко // Нові технології навчання: Збірник наукових праць // Інститут інноваційних технологій і змісту освіти Міністерства освіти і науки України, Академія міжнародного співробітництва з креативної педагогіки. – К., 2019. –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Вип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 83. – 292 с. – С. 196–202.</w:t>
      </w:r>
    </w:p>
    <w:p w14:paraId="1FFB9BF5" w14:textId="77777777" w:rsidR="00975C46" w:rsidRPr="00016DCA" w:rsidRDefault="00975C46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ADBCD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6DCA">
        <w:rPr>
          <w:rFonts w:ascii="Times New Roman" w:hAnsi="Times New Roman" w:cs="Times New Roman"/>
          <w:b/>
          <w:sz w:val="24"/>
          <w:szCs w:val="24"/>
        </w:rPr>
        <w:t>Інформаційні ресурси</w:t>
      </w:r>
    </w:p>
    <w:p w14:paraId="59EEFA1F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1.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Intellectual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Property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Organization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(WIPO).– http://www.wipo.int/portal/index.html.en</w:t>
      </w:r>
    </w:p>
    <w:p w14:paraId="3FFE6F5F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2.</w:t>
      </w:r>
      <w:r w:rsidRPr="00016DCA">
        <w:rPr>
          <w:rFonts w:ascii="Times New Roman" w:hAnsi="Times New Roman" w:cs="Times New Roman"/>
          <w:sz w:val="24"/>
          <w:szCs w:val="24"/>
        </w:rPr>
        <w:tab/>
        <w:t xml:space="preserve">Національна бібліотека України імені </w:t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В.І.Вернадського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>.– http://www.nbuv.gov.ua/</w:t>
      </w:r>
    </w:p>
    <w:p w14:paraId="1F036FDF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3.</w:t>
      </w:r>
      <w:r w:rsidRPr="00016DCA">
        <w:rPr>
          <w:rFonts w:ascii="Times New Roman" w:hAnsi="Times New Roman" w:cs="Times New Roman"/>
          <w:sz w:val="24"/>
          <w:szCs w:val="24"/>
        </w:rPr>
        <w:tab/>
        <w:t>Державна наукова сільськогосподарська бібліотека Української академії аграрних наук.– http://dnsgb.kiev.ua/</w:t>
      </w:r>
    </w:p>
    <w:p w14:paraId="61E7881D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4.</w:t>
      </w:r>
      <w:r w:rsidRPr="00016DCA">
        <w:rPr>
          <w:rFonts w:ascii="Times New Roman" w:hAnsi="Times New Roman" w:cs="Times New Roman"/>
          <w:sz w:val="24"/>
          <w:szCs w:val="24"/>
        </w:rPr>
        <w:tab/>
        <w:t>Офіційний сайт Міністерства аграрної політики України.– http://www.minagro.gov.ua/</w:t>
      </w:r>
    </w:p>
    <w:p w14:paraId="0A5DB307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5.</w:t>
      </w:r>
      <w:r w:rsidRPr="00016DCA">
        <w:rPr>
          <w:rFonts w:ascii="Times New Roman" w:hAnsi="Times New Roman" w:cs="Times New Roman"/>
          <w:sz w:val="24"/>
          <w:szCs w:val="24"/>
        </w:rPr>
        <w:tab/>
        <w:t>Офіційний сайт Міністерства освіти і науки України.– http://www.mon.gov.ua/</w:t>
      </w:r>
    </w:p>
    <w:p w14:paraId="47A9DC00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6DCA">
        <w:rPr>
          <w:rFonts w:ascii="Times New Roman" w:hAnsi="Times New Roman" w:cs="Times New Roman"/>
          <w:sz w:val="24"/>
          <w:szCs w:val="24"/>
        </w:rPr>
        <w:t>6.</w:t>
      </w:r>
      <w:r w:rsidRPr="00016DC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16DCA">
        <w:rPr>
          <w:rFonts w:ascii="Times New Roman" w:hAnsi="Times New Roman" w:cs="Times New Roman"/>
          <w:sz w:val="24"/>
          <w:szCs w:val="24"/>
        </w:rPr>
        <w:t>Wikipedia</w:t>
      </w:r>
      <w:proofErr w:type="spellEnd"/>
      <w:r w:rsidRPr="00016DCA">
        <w:rPr>
          <w:rFonts w:ascii="Times New Roman" w:hAnsi="Times New Roman" w:cs="Times New Roman"/>
          <w:sz w:val="24"/>
          <w:szCs w:val="24"/>
        </w:rPr>
        <w:t xml:space="preserve"> - http://www.wikipedia.org/</w:t>
      </w:r>
    </w:p>
    <w:p w14:paraId="5A69B847" w14:textId="77777777" w:rsidR="00CD4AF2" w:rsidRPr="00016DCA" w:rsidRDefault="00CD4AF2" w:rsidP="00182A6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4AF2" w:rsidRPr="00016DCA" w:rsidSect="001804AA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020"/>
    <w:multiLevelType w:val="hybridMultilevel"/>
    <w:tmpl w:val="2232427E"/>
    <w:lvl w:ilvl="0" w:tplc="DF72A100">
      <w:start w:val="6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2584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E97"/>
    <w:rsid w:val="00016DCA"/>
    <w:rsid w:val="00120C45"/>
    <w:rsid w:val="001804AA"/>
    <w:rsid w:val="00182A65"/>
    <w:rsid w:val="001B243C"/>
    <w:rsid w:val="001B348D"/>
    <w:rsid w:val="001B7939"/>
    <w:rsid w:val="00225776"/>
    <w:rsid w:val="0022793E"/>
    <w:rsid w:val="0028315B"/>
    <w:rsid w:val="002A1A29"/>
    <w:rsid w:val="002B4BF6"/>
    <w:rsid w:val="002F41BC"/>
    <w:rsid w:val="002F4201"/>
    <w:rsid w:val="0032087D"/>
    <w:rsid w:val="00334D0B"/>
    <w:rsid w:val="00356B46"/>
    <w:rsid w:val="00384BBC"/>
    <w:rsid w:val="00394FE5"/>
    <w:rsid w:val="003A3796"/>
    <w:rsid w:val="003E75D5"/>
    <w:rsid w:val="00477A18"/>
    <w:rsid w:val="004C123C"/>
    <w:rsid w:val="004C4958"/>
    <w:rsid w:val="004D0BE3"/>
    <w:rsid w:val="00502F33"/>
    <w:rsid w:val="0058438E"/>
    <w:rsid w:val="006A4C4F"/>
    <w:rsid w:val="006D2041"/>
    <w:rsid w:val="0071795E"/>
    <w:rsid w:val="007C66D2"/>
    <w:rsid w:val="008400C0"/>
    <w:rsid w:val="008418D4"/>
    <w:rsid w:val="008D6E1B"/>
    <w:rsid w:val="00937B67"/>
    <w:rsid w:val="00975C46"/>
    <w:rsid w:val="009B6C00"/>
    <w:rsid w:val="00A224D1"/>
    <w:rsid w:val="00A62D59"/>
    <w:rsid w:val="00AD3622"/>
    <w:rsid w:val="00AE677A"/>
    <w:rsid w:val="00AF4355"/>
    <w:rsid w:val="00B40DEB"/>
    <w:rsid w:val="00B51EE8"/>
    <w:rsid w:val="00C0681F"/>
    <w:rsid w:val="00C2043A"/>
    <w:rsid w:val="00C210E0"/>
    <w:rsid w:val="00C3264B"/>
    <w:rsid w:val="00C428B2"/>
    <w:rsid w:val="00C618CE"/>
    <w:rsid w:val="00C62ABC"/>
    <w:rsid w:val="00CB038C"/>
    <w:rsid w:val="00CD4AF2"/>
    <w:rsid w:val="00D94E97"/>
    <w:rsid w:val="00DE0EBA"/>
    <w:rsid w:val="00E44313"/>
    <w:rsid w:val="00E611DC"/>
    <w:rsid w:val="00EE72E4"/>
    <w:rsid w:val="00F40191"/>
    <w:rsid w:val="00F60A0F"/>
    <w:rsid w:val="00F97A34"/>
    <w:rsid w:val="00FA2715"/>
    <w:rsid w:val="00FA7055"/>
    <w:rsid w:val="00FE404F"/>
    <w:rsid w:val="00FF06AF"/>
    <w:rsid w:val="00FF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6B2FC"/>
  <w15:chartTrackingRefBased/>
  <w15:docId w15:val="{2D0EAB8D-CB6E-43BB-AE0D-7C20669AD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B4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C4F"/>
    <w:rPr>
      <w:color w:val="0000FF"/>
      <w:u w:val="single"/>
    </w:rPr>
  </w:style>
  <w:style w:type="table" w:styleId="a4">
    <w:name w:val="Table Grid"/>
    <w:basedOn w:val="a1"/>
    <w:uiPriority w:val="59"/>
    <w:rsid w:val="006A4C4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120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FA2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24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9936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learn.nubip.edu.ua/course/view.php?id=38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nnyy@nubip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5700</Words>
  <Characters>3249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Marus</dc:creator>
  <cp:keywords/>
  <dc:description/>
  <cp:lastModifiedBy>Світлана Ловейкіна</cp:lastModifiedBy>
  <cp:revision>2</cp:revision>
  <cp:lastPrinted>2024-01-03T14:37:00Z</cp:lastPrinted>
  <dcterms:created xsi:type="dcterms:W3CDTF">2024-01-08T18:58:00Z</dcterms:created>
  <dcterms:modified xsi:type="dcterms:W3CDTF">2024-01-08T18:58:00Z</dcterms:modified>
</cp:coreProperties>
</file>