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5AB41" w14:textId="77777777" w:rsidR="00654D54" w:rsidRPr="00B12DC3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B12DC3" w:rsidRPr="00B12DC3" w14:paraId="37942BD0" w14:textId="77777777" w:rsidTr="00A96EF1">
        <w:tc>
          <w:tcPr>
            <w:tcW w:w="2978" w:type="dxa"/>
            <w:vMerge w:val="restart"/>
          </w:tcPr>
          <w:p w14:paraId="37C7A4B2" w14:textId="77777777" w:rsidR="001431F8" w:rsidRPr="00B12DC3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C349B16" wp14:editId="492E7A4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01061078" w14:textId="77777777" w:rsidR="00EC07A1" w:rsidRPr="00B12DC3" w:rsidRDefault="0058169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СИЛАБУС ДИСЦИПЛІНИ </w:t>
            </w:r>
          </w:p>
          <w:p w14:paraId="366DF978" w14:textId="77777777" w:rsidR="003F5585" w:rsidRPr="00B12DC3" w:rsidRDefault="001431F8" w:rsidP="0013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2DC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bookmarkStart w:id="0" w:name="_GoBack"/>
            <w:r w:rsidR="00BB04F1" w:rsidRPr="00B12D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Проектування машин</w:t>
            </w:r>
            <w:r w:rsidR="003F5585" w:rsidRPr="00B12D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і обладнання</w:t>
            </w:r>
            <w:r w:rsidR="00BB04F1" w:rsidRPr="00B12D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60B269DD" w14:textId="45BF1009" w:rsidR="001431F8" w:rsidRPr="00B12DC3" w:rsidRDefault="00BB04F1" w:rsidP="0013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D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вібраційної дії</w:t>
            </w:r>
            <w:bookmarkEnd w:id="0"/>
            <w:r w:rsidR="001431F8" w:rsidRPr="00B12DC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12DC3" w:rsidRPr="00B12DC3" w14:paraId="57B8C92B" w14:textId="77777777" w:rsidTr="00A96EF1">
        <w:tc>
          <w:tcPr>
            <w:tcW w:w="2978" w:type="dxa"/>
            <w:vMerge/>
          </w:tcPr>
          <w:p w14:paraId="4A61986A" w14:textId="77777777" w:rsidR="001431F8" w:rsidRPr="00B12DC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D20E9C9" w14:textId="77777777" w:rsidR="00EC07A1" w:rsidRPr="00B12DC3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57E3E" w14:textId="64957E59" w:rsidR="001431F8" w:rsidRPr="00B12DC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FB1FAE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B12DC3" w:rsidRPr="00B12DC3" w14:paraId="557AAD97" w14:textId="77777777" w:rsidTr="00A96EF1">
        <w:tc>
          <w:tcPr>
            <w:tcW w:w="2978" w:type="dxa"/>
            <w:vMerge/>
          </w:tcPr>
          <w:p w14:paraId="670A5CBF" w14:textId="77777777" w:rsidR="00A96EF1" w:rsidRPr="00B12DC3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394FB55" w14:textId="4D83D29C" w:rsidR="00A96EF1" w:rsidRPr="00B12DC3" w:rsidRDefault="00A96EF1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FB1FAE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133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B1FAE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Галузеве машинобудування </w:t>
            </w:r>
          </w:p>
        </w:tc>
      </w:tr>
      <w:tr w:rsidR="00B12DC3" w:rsidRPr="00B12DC3" w14:paraId="5CB5F6E7" w14:textId="77777777" w:rsidTr="00A96EF1">
        <w:tc>
          <w:tcPr>
            <w:tcW w:w="2978" w:type="dxa"/>
            <w:vMerge/>
          </w:tcPr>
          <w:p w14:paraId="5E625F28" w14:textId="77777777" w:rsidR="001431F8" w:rsidRPr="00B12DC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EE9718C" w14:textId="4FC5D219" w:rsidR="001431F8" w:rsidRPr="00B12DC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571301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Машини та обладнання сільськогосподарського виробництва 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12DC3" w:rsidRPr="00B12DC3" w14:paraId="30E74CAB" w14:textId="77777777" w:rsidTr="00A96EF1">
        <w:tc>
          <w:tcPr>
            <w:tcW w:w="2978" w:type="dxa"/>
            <w:vMerge/>
          </w:tcPr>
          <w:p w14:paraId="4BCDDD40" w14:textId="77777777" w:rsidR="001431F8" w:rsidRPr="00B12DC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3ADB838" w14:textId="0F6AA031" w:rsidR="001431F8" w:rsidRPr="00B12DC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C26BB1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0200E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C26BB1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0200E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20200E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  <w:p w14:paraId="2A80F943" w14:textId="7664A60B" w:rsidR="0020200E" w:rsidRPr="00B12DC3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_____</w:t>
            </w:r>
            <w:r w:rsidR="00C26BB1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B12DC3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12DC3" w:rsidRPr="00B12DC3" w14:paraId="0A7F97A4" w14:textId="77777777" w:rsidTr="00A96EF1">
        <w:tc>
          <w:tcPr>
            <w:tcW w:w="2978" w:type="dxa"/>
            <w:vMerge/>
          </w:tcPr>
          <w:p w14:paraId="347500FB" w14:textId="77777777" w:rsidR="001431F8" w:rsidRPr="00B12DC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7B37441" w14:textId="195FBE59" w:rsidR="001431F8" w:rsidRPr="00B12DC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0B13AE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C20065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,0</w:t>
            </w:r>
            <w:r w:rsidR="0020200E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20200E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</w:tr>
      <w:tr w:rsidR="00B12DC3" w:rsidRPr="00B12DC3" w14:paraId="1D3CC3F2" w14:textId="77777777" w:rsidTr="00A96EF1">
        <w:tc>
          <w:tcPr>
            <w:tcW w:w="2978" w:type="dxa"/>
            <w:vMerge/>
          </w:tcPr>
          <w:p w14:paraId="5BE920A1" w14:textId="77777777" w:rsidR="001431F8" w:rsidRPr="00B12DC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995A738" w14:textId="4DBED417" w:rsidR="001431F8" w:rsidRPr="00B12DC3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B12DC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26BB1" w:rsidRPr="00B12D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українська</w:t>
            </w:r>
            <w:r w:rsidRPr="00B12DC3">
              <w:rPr>
                <w:rFonts w:ascii="Times New Roman" w:hAnsi="Times New Roman" w:cs="Times New Roman"/>
                <w:sz w:val="20"/>
                <w:szCs w:val="20"/>
              </w:rPr>
              <w:t>_(українська, англійська, німецька)</w:t>
            </w:r>
          </w:p>
        </w:tc>
      </w:tr>
      <w:tr w:rsidR="00B12DC3" w:rsidRPr="00B12DC3" w14:paraId="7D1FCCBD" w14:textId="77777777" w:rsidTr="00A96EF1">
        <w:tc>
          <w:tcPr>
            <w:tcW w:w="2978" w:type="dxa"/>
          </w:tcPr>
          <w:p w14:paraId="3F35E205" w14:textId="77777777" w:rsidR="00A96EF1" w:rsidRPr="00B12DC3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112CC21F" w14:textId="77777777" w:rsidR="00A96EF1" w:rsidRPr="00B12DC3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12DC3" w:rsidRPr="00B12DC3" w14:paraId="2A63B0D0" w14:textId="77777777" w:rsidTr="00A96EF1">
        <w:tc>
          <w:tcPr>
            <w:tcW w:w="2978" w:type="dxa"/>
          </w:tcPr>
          <w:p w14:paraId="47FE78AE" w14:textId="77777777" w:rsidR="001431F8" w:rsidRPr="00B12DC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0868752B" w14:textId="16A42EC7" w:rsidR="001431F8" w:rsidRPr="00B12DC3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C26BB1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Черниш О.М.</w:t>
            </w:r>
            <w:r w:rsidR="00647FE0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="00647FE0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647FE0" w:rsidRPr="00B12D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доц. каф. механіки</w:t>
            </w:r>
          </w:p>
        </w:tc>
      </w:tr>
      <w:tr w:rsidR="00B12DC3" w:rsidRPr="00B12DC3" w14:paraId="2EFB45E0" w14:textId="77777777" w:rsidTr="00A96EF1">
        <w:tc>
          <w:tcPr>
            <w:tcW w:w="2978" w:type="dxa"/>
          </w:tcPr>
          <w:p w14:paraId="4D82EC43" w14:textId="77777777" w:rsidR="001431F8" w:rsidRPr="00B12DC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32AE91DE" w14:textId="77777777" w:rsidR="001431F8" w:rsidRPr="00B12DC3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  <w:r w:rsidR="00A96EF1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6E1ECF15" w14:textId="50F27FCB" w:rsidR="00647FE0" w:rsidRPr="00B12DC3" w:rsidRDefault="00B12DC3" w:rsidP="00130933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hyperlink r:id="rId6" w:history="1">
              <w:r w:rsidR="003A320C" w:rsidRPr="00B12DC3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chernysh@nubip.edu.ua_</w:t>
              </w:r>
            </w:hyperlink>
          </w:p>
        </w:tc>
      </w:tr>
      <w:tr w:rsidR="00B12DC3" w:rsidRPr="00B12DC3" w14:paraId="6C2CF064" w14:textId="77777777" w:rsidTr="00A96EF1">
        <w:tc>
          <w:tcPr>
            <w:tcW w:w="2978" w:type="dxa"/>
          </w:tcPr>
          <w:p w14:paraId="78B475EB" w14:textId="77777777" w:rsidR="001431F8" w:rsidRPr="00B12DC3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B12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 w:rsidRPr="00B12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3E1CA684" w14:textId="75A746D0" w:rsidR="001431F8" w:rsidRPr="00B12DC3" w:rsidRDefault="00B12DC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30E4B" w:rsidRPr="00B12DC3">
                <w:rPr>
                  <w:rStyle w:val="a6"/>
                  <w:color w:val="auto"/>
                </w:rPr>
                <w:t>https://elearn.nubip.edu.ua/course/view.php?id=558</w:t>
              </w:r>
            </w:hyperlink>
          </w:p>
        </w:tc>
      </w:tr>
    </w:tbl>
    <w:p w14:paraId="130F0F63" w14:textId="77777777" w:rsidR="001431F8" w:rsidRPr="00B12DC3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E0189" w14:textId="77777777" w:rsidR="00EC07A1" w:rsidRPr="00B12DC3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C3">
        <w:rPr>
          <w:rFonts w:ascii="Times New Roman" w:hAnsi="Times New Roman" w:cs="Times New Roman"/>
          <w:b/>
          <w:sz w:val="24"/>
          <w:szCs w:val="24"/>
        </w:rPr>
        <w:t>ОПИС ДИСЦИПЛІНИ</w:t>
      </w:r>
    </w:p>
    <w:p w14:paraId="7DF24F28" w14:textId="58649AF7" w:rsidR="00130933" w:rsidRPr="00B12DC3" w:rsidRDefault="00B90C0C" w:rsidP="005F6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>В курсі розглянуті питання проектування і розрахунку машин та обладнання вібраційної дії, методи і принципи аналітичного описання коливального руху, принципи створення вібраційних машин та їх конструктивні особливості.</w:t>
      </w:r>
    </w:p>
    <w:p w14:paraId="3DF27E33" w14:textId="77777777" w:rsidR="007622F8" w:rsidRPr="00B12DC3" w:rsidRDefault="007622F8" w:rsidP="005F6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E399C8" w14:textId="4B6D19A3" w:rsidR="00311467" w:rsidRPr="00B12DC3" w:rsidRDefault="00311467" w:rsidP="003114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B1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C0C" w:rsidRPr="00B12DC3">
        <w:rPr>
          <w:rFonts w:ascii="Times New Roman" w:hAnsi="Times New Roman" w:cs="Times New Roman"/>
          <w:bCs/>
          <w:sz w:val="24"/>
          <w:szCs w:val="24"/>
        </w:rPr>
        <w:t>формування системи спеціальних знань та практичних навичок у галузі дослідження машин і механізмів вібраційної дії, їх проектування за заданими критеріями і властивостями згідно із технологією вібраційного робочого процесу у сільськогосподарському виробництві.</w:t>
      </w:r>
    </w:p>
    <w:p w14:paraId="259DBF00" w14:textId="77777777" w:rsidR="007622F8" w:rsidRPr="00B12DC3" w:rsidRDefault="007622F8" w:rsidP="003114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8F6673" w14:textId="4C05DC16" w:rsidR="00311467" w:rsidRPr="00B12DC3" w:rsidRDefault="00311467" w:rsidP="003114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  <w:r w:rsidRPr="00B1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C0C" w:rsidRPr="00B12DC3">
        <w:rPr>
          <w:rFonts w:ascii="Times New Roman" w:hAnsi="Times New Roman" w:cs="Times New Roman"/>
          <w:bCs/>
          <w:sz w:val="24"/>
          <w:szCs w:val="24"/>
        </w:rPr>
        <w:t>ознайомлення із методикою проектування машин вібраційної дії у сільськогосподарському виробництві, теоретичне обґрунтування конструкційних і кінематичних параметрів вібраційних робочих органів сільськогосподарських машин у тому обсязі, який дає можливість успішно засвоїти інші спеціальні дисципліни, набути твердих практичних навичок у розв’язуванні технічних задач, що стосуються сільськогосподарської техніки, розвити культуру інженерного мислення, навички аналізу і розрахунку технологічних параметрів, кінематичних і динамічних схем вібраційних машин агропромислового виробництва.</w:t>
      </w:r>
    </w:p>
    <w:p w14:paraId="525CCA48" w14:textId="77777777" w:rsidR="007622F8" w:rsidRPr="00B12DC3" w:rsidRDefault="007622F8" w:rsidP="003114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CEE1CF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DC3">
        <w:rPr>
          <w:rFonts w:ascii="Times New Roman" w:hAnsi="Times New Roman" w:cs="Times New Roman"/>
          <w:b/>
          <w:bCs/>
          <w:sz w:val="24"/>
          <w:szCs w:val="24"/>
        </w:rPr>
        <w:t>Набуття компетентностей:</w:t>
      </w:r>
    </w:p>
    <w:p w14:paraId="5EB98AF4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2DC3">
        <w:rPr>
          <w:rFonts w:ascii="Times New Roman" w:hAnsi="Times New Roman" w:cs="Times New Roman"/>
          <w:bCs/>
          <w:i/>
          <w:iCs/>
          <w:sz w:val="24"/>
          <w:szCs w:val="24"/>
        </w:rPr>
        <w:t>Інтегральна компетентність (ІК):</w:t>
      </w:r>
    </w:p>
    <w:p w14:paraId="0F149ACB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</w:p>
    <w:p w14:paraId="248323A8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FBA990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2DC3">
        <w:rPr>
          <w:rFonts w:ascii="Times New Roman" w:hAnsi="Times New Roman" w:cs="Times New Roman"/>
          <w:bCs/>
          <w:i/>
          <w:iCs/>
          <w:sz w:val="24"/>
          <w:szCs w:val="24"/>
        </w:rPr>
        <w:t>Загальні компетентності (ЗК):</w:t>
      </w:r>
    </w:p>
    <w:p w14:paraId="32A4E8BB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>ЗК1. Здатність застосовувати інформаційні та комунікаційні технології.</w:t>
      </w:r>
    </w:p>
    <w:p w14:paraId="7B812B97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 xml:space="preserve">ЗК2. Здатність вчитися та оволодівати сучасними знаннями. </w:t>
      </w:r>
    </w:p>
    <w:p w14:paraId="25724202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 xml:space="preserve">ЗК5. Здатність до адаптації та дії в новій ситуації. </w:t>
      </w:r>
    </w:p>
    <w:p w14:paraId="2B5B0DD6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 xml:space="preserve">ЗК6. Здатність генерувати нові ідеї (креативність). </w:t>
      </w:r>
    </w:p>
    <w:p w14:paraId="5F2E8CAD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 xml:space="preserve">ЗК7. Здатність виявляти, ставити та вирішувати проблеми. </w:t>
      </w:r>
    </w:p>
    <w:p w14:paraId="17D7C30F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>ЗК8. Здатність приймати обґрунтовані рішення.</w:t>
      </w:r>
    </w:p>
    <w:p w14:paraId="4B62D3BD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>ЗК9. Здатність працювати в команді.</w:t>
      </w:r>
    </w:p>
    <w:p w14:paraId="2961E9D4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5440A2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2DC3">
        <w:rPr>
          <w:rFonts w:ascii="Times New Roman" w:hAnsi="Times New Roman" w:cs="Times New Roman"/>
          <w:bCs/>
          <w:i/>
          <w:iCs/>
          <w:sz w:val="24"/>
          <w:szCs w:val="24"/>
        </w:rPr>
        <w:t>Спеціальні (фахові, предметні) компетентності (СК):</w:t>
      </w:r>
    </w:p>
    <w:p w14:paraId="37405FCB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3BA7B986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>СК3. Здатність створювати нову техніку і технології в галузі механічної інженерії.</w:t>
      </w:r>
    </w:p>
    <w:p w14:paraId="2C852E29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0C48A4A1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14:paraId="59E05DC6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A51FE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DC3">
        <w:rPr>
          <w:rFonts w:ascii="Times New Roman" w:hAnsi="Times New Roman" w:cs="Times New Roman"/>
          <w:b/>
          <w:bCs/>
          <w:sz w:val="24"/>
          <w:szCs w:val="24"/>
        </w:rPr>
        <w:t>Програмні результати навчання:</w:t>
      </w:r>
    </w:p>
    <w:p w14:paraId="62A847AD" w14:textId="77777777" w:rsidR="005B478E" w:rsidRPr="00B12DC3" w:rsidRDefault="005B478E" w:rsidP="005B4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C3">
        <w:rPr>
          <w:rFonts w:ascii="Times New Roman" w:hAnsi="Times New Roman" w:cs="Times New Roman"/>
          <w:bCs/>
          <w:sz w:val="24"/>
          <w:szCs w:val="24"/>
        </w:rPr>
        <w:t xml:space="preserve">РН2. Знання та розуміння механіки і машинобудування та перспектив їхнього розвитку. </w:t>
      </w:r>
    </w:p>
    <w:p w14:paraId="024B40A7" w14:textId="77777777" w:rsidR="005F60A2" w:rsidRPr="00B12DC3" w:rsidRDefault="005F60A2" w:rsidP="00662A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A130A" w14:textId="77777777" w:rsidR="00EC07A1" w:rsidRPr="00B12DC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C3">
        <w:rPr>
          <w:rFonts w:ascii="Times New Roman" w:hAnsi="Times New Roman" w:cs="Times New Roman"/>
          <w:b/>
          <w:sz w:val="24"/>
          <w:szCs w:val="24"/>
        </w:rPr>
        <w:t>СТРУКТУРА КУРСУ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3402"/>
        <w:gridCol w:w="1701"/>
        <w:gridCol w:w="1128"/>
      </w:tblGrid>
      <w:tr w:rsidR="00B12DC3" w:rsidRPr="00B12DC3" w14:paraId="7E6EC224" w14:textId="77777777" w:rsidTr="00FE1848">
        <w:trPr>
          <w:jc w:val="center"/>
        </w:trPr>
        <w:tc>
          <w:tcPr>
            <w:tcW w:w="2263" w:type="dxa"/>
            <w:vAlign w:val="center"/>
          </w:tcPr>
          <w:p w14:paraId="69696B41" w14:textId="77777777" w:rsidR="00EC07A1" w:rsidRPr="00B12DC3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  <w:vAlign w:val="center"/>
          </w:tcPr>
          <w:p w14:paraId="0C4489F0" w14:textId="62997DE0" w:rsidR="00EC07A1" w:rsidRPr="00B12DC3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F161BA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57C925" w14:textId="6C4EF83D" w:rsidR="008E3E6E" w:rsidRPr="00B12DC3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C3">
              <w:rPr>
                <w:rFonts w:ascii="Times New Roman" w:hAnsi="Times New Roman" w:cs="Times New Roman"/>
                <w:sz w:val="20"/>
                <w:szCs w:val="20"/>
              </w:rPr>
              <w:t>(лек</w:t>
            </w:r>
            <w:r w:rsidR="00D758FB" w:rsidRPr="00B12DC3">
              <w:rPr>
                <w:rFonts w:ascii="Times New Roman" w:hAnsi="Times New Roman" w:cs="Times New Roman"/>
                <w:sz w:val="20"/>
                <w:szCs w:val="20"/>
              </w:rPr>
              <w:t>ц.</w:t>
            </w:r>
            <w:r w:rsidRPr="00B12D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C6C7030" w14:textId="6AC197FF" w:rsidR="00EC07A1" w:rsidRPr="00B12DC3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C3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r w:rsidR="00F161BA" w:rsidRPr="00B12D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33E8" w:rsidRPr="00B12DC3">
              <w:rPr>
                <w:rFonts w:ascii="Times New Roman" w:hAnsi="Times New Roman" w:cs="Times New Roman"/>
                <w:sz w:val="20"/>
                <w:szCs w:val="20"/>
              </w:rPr>
              <w:t>/сам.</w:t>
            </w:r>
            <w:r w:rsidRPr="00B12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718BD87" w14:textId="77777777" w:rsidR="00EC07A1" w:rsidRPr="00B12DC3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01" w:type="dxa"/>
            <w:vAlign w:val="center"/>
          </w:tcPr>
          <w:p w14:paraId="7B2BA095" w14:textId="77777777" w:rsidR="00EC07A1" w:rsidRPr="00B12DC3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128" w:type="dxa"/>
            <w:vAlign w:val="center"/>
          </w:tcPr>
          <w:p w14:paraId="53BC6B57" w14:textId="3726CD5A" w:rsidR="00EC07A1" w:rsidRPr="00B12DC3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256524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</w:p>
        </w:tc>
      </w:tr>
      <w:tr w:rsidR="00B12DC3" w:rsidRPr="00B12DC3" w14:paraId="744DBAF7" w14:textId="77777777" w:rsidTr="00D758FB">
        <w:trPr>
          <w:trHeight w:val="523"/>
          <w:jc w:val="center"/>
        </w:trPr>
        <w:tc>
          <w:tcPr>
            <w:tcW w:w="9345" w:type="dxa"/>
            <w:gridSpan w:val="5"/>
            <w:vAlign w:val="center"/>
          </w:tcPr>
          <w:p w14:paraId="7A1AE19A" w14:textId="77777777" w:rsidR="00ED3451" w:rsidRPr="00B12DC3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B12DC3" w:rsidRPr="00B12DC3" w14:paraId="62494204" w14:textId="77777777" w:rsidTr="00D758FB">
        <w:trPr>
          <w:trHeight w:val="558"/>
          <w:jc w:val="center"/>
        </w:trPr>
        <w:tc>
          <w:tcPr>
            <w:tcW w:w="9345" w:type="dxa"/>
            <w:gridSpan w:val="5"/>
            <w:vAlign w:val="center"/>
          </w:tcPr>
          <w:p w14:paraId="650A96D4" w14:textId="1C9E0874" w:rsidR="00544D46" w:rsidRPr="00B12DC3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8E3E6E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bookmarkStart w:id="1" w:name="_Hlk505470713"/>
            <w:r w:rsidR="006E7EF4" w:rsidRPr="00B12D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Основи теорії коливань і аналітичної механіки</w:t>
            </w:r>
            <w:bookmarkEnd w:id="1"/>
          </w:p>
        </w:tc>
      </w:tr>
      <w:tr w:rsidR="00B12DC3" w:rsidRPr="00B12DC3" w14:paraId="4790F172" w14:textId="77777777" w:rsidTr="00FE1848">
        <w:trPr>
          <w:jc w:val="center"/>
        </w:trPr>
        <w:tc>
          <w:tcPr>
            <w:tcW w:w="2263" w:type="dxa"/>
          </w:tcPr>
          <w:p w14:paraId="725C0D97" w14:textId="33F59456" w:rsidR="00477551" w:rsidRPr="00B12DC3" w:rsidRDefault="00477551" w:rsidP="004775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505470826"/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Тема 1.1. Вступ до курсу. Основи теорії коливань і вібрацій. Коливання матеріальної точки.</w:t>
            </w:r>
            <w:bookmarkEnd w:id="2"/>
          </w:p>
        </w:tc>
        <w:tc>
          <w:tcPr>
            <w:tcW w:w="851" w:type="dxa"/>
          </w:tcPr>
          <w:p w14:paraId="0A382159" w14:textId="206582C8" w:rsidR="00477551" w:rsidRPr="00B12DC3" w:rsidRDefault="00477551" w:rsidP="0047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A865D2" w:rsidRPr="00B1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3402" w:type="dxa"/>
          </w:tcPr>
          <w:p w14:paraId="32742D0C" w14:textId="4F89D8C1" w:rsidR="00477551" w:rsidRPr="00B12DC3" w:rsidRDefault="00477551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визначення предмету, його основні розділи. Знати основні поняття і визначення теорії коливань матеріальної точки. Розрізняти основні види коливань, кінематичні і динамічні параметри коливань. Вміти складати і розв’язувати диференціальні рівняння вільних, згасальних і змушених коливань матеріальної точки. Розуміти явище резонансу і чинники, які впливають на нього. Аналізувати диференціальні рівняння коливань і закони руху точки в залежності від заданих умов.</w:t>
            </w:r>
          </w:p>
          <w:p w14:paraId="02699EF7" w14:textId="3CF572C5" w:rsidR="00477551" w:rsidRPr="00B12DC3" w:rsidRDefault="00EE3319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Вміти застосовувати розрахунки параметрів коливального руху на практиці. </w:t>
            </w:r>
            <w:r w:rsidR="00C548D5" w:rsidRPr="00B12DC3">
              <w:rPr>
                <w:rFonts w:ascii="Times New Roman" w:hAnsi="Times New Roman" w:cs="Times New Roman"/>
                <w:sz w:val="24"/>
                <w:szCs w:val="24"/>
              </w:rPr>
              <w:t>Використовувати набуті практичні</w:t>
            </w:r>
            <w:r w:rsidR="002C3113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навички</w:t>
            </w:r>
            <w:r w:rsidR="00C548D5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у наукових дослідженнях і виробництві.</w:t>
            </w:r>
          </w:p>
        </w:tc>
        <w:tc>
          <w:tcPr>
            <w:tcW w:w="1701" w:type="dxa"/>
          </w:tcPr>
          <w:p w14:paraId="013A75EF" w14:textId="1B729062" w:rsidR="00477551" w:rsidRPr="00B12DC3" w:rsidRDefault="00477551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Вивчення теоретичного 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79EC10" w14:textId="1519BEB2" w:rsidR="00477551" w:rsidRPr="00B12DC3" w:rsidRDefault="00477551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5461D0B7" w14:textId="69DCA2DC" w:rsidR="00477551" w:rsidRPr="00B12DC3" w:rsidRDefault="00417F32" w:rsidP="00477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12DC3" w:rsidRPr="00B12DC3" w14:paraId="130C4E2B" w14:textId="77777777" w:rsidTr="00FE1848">
        <w:trPr>
          <w:jc w:val="center"/>
        </w:trPr>
        <w:tc>
          <w:tcPr>
            <w:tcW w:w="2263" w:type="dxa"/>
          </w:tcPr>
          <w:p w14:paraId="1E8B6AA6" w14:textId="6F4863A2" w:rsidR="00477551" w:rsidRPr="00B12DC3" w:rsidRDefault="00477551" w:rsidP="00477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Тема 1.2. Аналітичні принципи Лагранжа. </w:t>
            </w:r>
          </w:p>
        </w:tc>
        <w:tc>
          <w:tcPr>
            <w:tcW w:w="851" w:type="dxa"/>
          </w:tcPr>
          <w:p w14:paraId="658719AD" w14:textId="759CFC81" w:rsidR="00477551" w:rsidRPr="00B12DC3" w:rsidRDefault="00477551" w:rsidP="0047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A865D2" w:rsidRPr="00B1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3402" w:type="dxa"/>
          </w:tcPr>
          <w:p w14:paraId="0AF0E49B" w14:textId="73B6E25D" w:rsidR="00477551" w:rsidRPr="00B12DC3" w:rsidRDefault="00B74557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Знати основні визначення і поняття аналітичної механіки. Аналізувати види в’язей в механічних системах і знати їх класифікацію. Знати про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можливі переміщення, </w:t>
            </w:r>
            <w:r w:rsidR="00F519B6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узагальнені координати системи,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ступінь вільності механічних систем і ідеальні в’язі. </w:t>
            </w:r>
            <w:r w:rsidR="00C548D5" w:rsidRPr="00B12DC3">
              <w:rPr>
                <w:rFonts w:ascii="Times New Roman" w:hAnsi="Times New Roman" w:cs="Times New Roman"/>
                <w:sz w:val="24"/>
                <w:szCs w:val="24"/>
              </w:rPr>
              <w:t>Розуміти принцип можливих</w:t>
            </w:r>
            <w:r w:rsidR="00E3605D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або віртуальних</w:t>
            </w:r>
            <w:r w:rsidR="00C548D5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переміщень в механічних системах. </w:t>
            </w:r>
            <w:r w:rsidR="00F519B6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Вміти знаходити узагальнені швидкості і узагальнені сили механічних систем. Використовувати набуті практичні </w:t>
            </w:r>
            <w:r w:rsidR="002C3113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навички </w:t>
            </w:r>
            <w:r w:rsidR="00F519B6" w:rsidRPr="00B12DC3">
              <w:rPr>
                <w:rFonts w:ascii="Times New Roman" w:hAnsi="Times New Roman" w:cs="Times New Roman"/>
                <w:sz w:val="24"/>
                <w:szCs w:val="24"/>
              </w:rPr>
              <w:t>у наукових дослідженнях і виробництві.</w:t>
            </w:r>
          </w:p>
        </w:tc>
        <w:tc>
          <w:tcPr>
            <w:tcW w:w="1701" w:type="dxa"/>
          </w:tcPr>
          <w:p w14:paraId="672BF104" w14:textId="77777777" w:rsidR="00477551" w:rsidRPr="00B12DC3" w:rsidRDefault="00477551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Вивчення теоретичного матеріалу, виконання та захист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7ED138" w14:textId="1BCA1D25" w:rsidR="00477551" w:rsidRPr="00B12DC3" w:rsidRDefault="00477551" w:rsidP="00477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5A2D330D" w14:textId="2D80B3F8" w:rsidR="00477551" w:rsidRPr="00B12DC3" w:rsidRDefault="003C0708" w:rsidP="00477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</w:tr>
      <w:tr w:rsidR="00B12DC3" w:rsidRPr="00B12DC3" w14:paraId="17E62657" w14:textId="77777777" w:rsidTr="00FE1848">
        <w:trPr>
          <w:jc w:val="center"/>
        </w:trPr>
        <w:tc>
          <w:tcPr>
            <w:tcW w:w="2263" w:type="dxa"/>
          </w:tcPr>
          <w:p w14:paraId="5A1F964B" w14:textId="47232720" w:rsidR="00477551" w:rsidRPr="00B12DC3" w:rsidRDefault="00477551" w:rsidP="00477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1.3. Рівняння рівноваги та руху у формі Лагранжа. Канонічні рівняння динаміки.</w:t>
            </w:r>
          </w:p>
        </w:tc>
        <w:tc>
          <w:tcPr>
            <w:tcW w:w="851" w:type="dxa"/>
          </w:tcPr>
          <w:p w14:paraId="08D5B0D0" w14:textId="6ACDE59F" w:rsidR="00477551" w:rsidRPr="00B12DC3" w:rsidRDefault="00477551" w:rsidP="0047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A865D2" w:rsidRPr="00B1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3402" w:type="dxa"/>
          </w:tcPr>
          <w:p w14:paraId="73442002" w14:textId="372CD4D7" w:rsidR="00026D64" w:rsidRPr="00B12DC3" w:rsidRDefault="00F519B6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>і розуміти методику застосування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рівнян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рівноваги 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>для динамічних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в узагальнених координатах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4C10" w:rsidRPr="00B12DC3">
              <w:rPr>
                <w:rFonts w:ascii="Times New Roman" w:hAnsi="Times New Roman" w:cs="Times New Roman"/>
                <w:sz w:val="24"/>
                <w:szCs w:val="24"/>
              </w:rPr>
              <w:t>Розуміти поняття стійкого стану рівноваги системи, в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міти складати 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і розв’язувати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загальні рівняння динаміки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та рівняння Лагранжа другого роду</w:t>
            </w:r>
            <w:r w:rsidR="009D4C10" w:rsidRPr="00B1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C10" w:rsidRPr="00B12DC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аналіз</w:t>
            </w:r>
            <w:r w:rsidR="009D4C10" w:rsidRPr="00B12DC3">
              <w:rPr>
                <w:rFonts w:ascii="Times New Roman" w:hAnsi="Times New Roman" w:cs="Times New Roman"/>
                <w:sz w:val="24"/>
                <w:szCs w:val="24"/>
              </w:rPr>
              <w:t>увати розв’язок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отриманих р</w:t>
            </w:r>
            <w:r w:rsidR="009D4C10" w:rsidRPr="00B12DC3">
              <w:rPr>
                <w:rFonts w:ascii="Times New Roman" w:hAnsi="Times New Roman" w:cs="Times New Roman"/>
                <w:sz w:val="24"/>
                <w:szCs w:val="24"/>
              </w:rPr>
              <w:t>івнянь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. Вміти </w:t>
            </w:r>
            <w:r w:rsidR="009D4C10" w:rsidRPr="00B12DC3">
              <w:rPr>
                <w:rFonts w:ascii="Times New Roman" w:hAnsi="Times New Roman" w:cs="Times New Roman"/>
                <w:sz w:val="24"/>
                <w:szCs w:val="24"/>
              </w:rPr>
              <w:t>знаходити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40B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канонічні 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рівняння Гамільтона для консервативних систем і </w:t>
            </w:r>
            <w:r w:rsidR="009D4C10" w:rsidRPr="00B12DC3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r w:rsidR="00026D6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властивості функцій Гамільтона</w:t>
            </w:r>
            <w:r w:rsidR="009D4C10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ECCED1" w14:textId="1501747E" w:rsidR="00F519B6" w:rsidRPr="00B12DC3" w:rsidRDefault="00AA1D42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Розрізняти</w:t>
            </w:r>
            <w:r w:rsidR="009D4C10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канонічні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рівняння для неконсервативних систем, циклічні координати і перші інтеграли канонічних рівнянь. Знати і розуміти спосіб інтегрування канонічних рівнянь - спосіб Пуассона-Якобі. Використовувати набуті практичні </w:t>
            </w:r>
            <w:r w:rsidR="002C3113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навички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у наукових дослідженнях і виробництві. </w:t>
            </w:r>
          </w:p>
        </w:tc>
        <w:tc>
          <w:tcPr>
            <w:tcW w:w="1701" w:type="dxa"/>
          </w:tcPr>
          <w:p w14:paraId="523832E1" w14:textId="77777777" w:rsidR="00477551" w:rsidRPr="00B12DC3" w:rsidRDefault="00477551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Вивчення теоретичного 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C6E4B0" w14:textId="5104BC67" w:rsidR="00477551" w:rsidRPr="00B12DC3" w:rsidRDefault="00477551" w:rsidP="00477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самостійне розв’язання задач за темою </w:t>
            </w:r>
          </w:p>
        </w:tc>
        <w:tc>
          <w:tcPr>
            <w:tcW w:w="1128" w:type="dxa"/>
          </w:tcPr>
          <w:p w14:paraId="0C40400F" w14:textId="2FD9B459" w:rsidR="00477551" w:rsidRPr="00B12DC3" w:rsidRDefault="00477551" w:rsidP="00477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C0708"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12DC3" w:rsidRPr="00B12DC3" w14:paraId="197DC7B9" w14:textId="77777777" w:rsidTr="00FE1848">
        <w:trPr>
          <w:jc w:val="center"/>
        </w:trPr>
        <w:tc>
          <w:tcPr>
            <w:tcW w:w="2263" w:type="dxa"/>
          </w:tcPr>
          <w:p w14:paraId="7359957E" w14:textId="2AA0D868" w:rsidR="00477551" w:rsidRPr="00B12DC3" w:rsidRDefault="00477551" w:rsidP="00477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Тема 1.4. Основи теорії стійкості руху та рівноваги</w:t>
            </w:r>
          </w:p>
        </w:tc>
        <w:tc>
          <w:tcPr>
            <w:tcW w:w="851" w:type="dxa"/>
          </w:tcPr>
          <w:p w14:paraId="4EC90453" w14:textId="6171DC5E" w:rsidR="00477551" w:rsidRPr="00B12DC3" w:rsidRDefault="00477551" w:rsidP="0047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A865D2" w:rsidRPr="00B1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3402" w:type="dxa"/>
          </w:tcPr>
          <w:p w14:paraId="10B7C03E" w14:textId="22022A4B" w:rsidR="00477551" w:rsidRPr="00B12DC3" w:rsidRDefault="00477551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3122C0" w:rsidRPr="00B12DC3">
              <w:rPr>
                <w:rFonts w:ascii="Times New Roman" w:hAnsi="Times New Roman" w:cs="Times New Roman"/>
                <w:sz w:val="24"/>
                <w:szCs w:val="24"/>
              </w:rPr>
              <w:t>умови стійкості положення рівноваги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2C0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механічних систем по Ляпунову. Розрізняти малі коливання механічної системи відносно положення стійкої рівноваги. Вміти складати рівняння Лагранжа другого роду для </w:t>
            </w:r>
            <w:r w:rsidR="002C3113" w:rsidRPr="00B12DC3">
              <w:rPr>
                <w:rFonts w:ascii="Times New Roman" w:hAnsi="Times New Roman" w:cs="Times New Roman"/>
                <w:sz w:val="24"/>
                <w:szCs w:val="24"/>
              </w:rPr>
              <w:t>консервативних коливальних</w:t>
            </w:r>
            <w:r w:rsidR="003122C0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систем. Розуміти поняття стійкості руху механічної системи і </w:t>
            </w:r>
            <w:r w:rsidR="00F35A71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умови його існування. Вміти </w:t>
            </w:r>
            <w:r w:rsidR="00F35A71"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знаходити диференціальні і канонічні рівняння збуреного руху автономної і неавтономної механічної системи. Аналізувати стійкість збуреного руху по Ляпунову, знати методи розв’язання задач на стійкість руху і теореми Ляпунова про стійкість і нестійкість руху. Використовувати набуті знання і практичні навички у наукових дослідженнях і виробництві. </w:t>
            </w:r>
          </w:p>
        </w:tc>
        <w:tc>
          <w:tcPr>
            <w:tcW w:w="1701" w:type="dxa"/>
          </w:tcPr>
          <w:p w14:paraId="057AA4E1" w14:textId="77777777" w:rsidR="00477551" w:rsidRPr="00B12DC3" w:rsidRDefault="00477551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 теоретичного 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56C710" w14:textId="4D13F7B9" w:rsidR="00477551" w:rsidRPr="00B12DC3" w:rsidRDefault="00477551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401FA806" w14:textId="2B619EB5" w:rsidR="00477551" w:rsidRPr="00B12DC3" w:rsidRDefault="00417F32" w:rsidP="00477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B12DC3" w:rsidRPr="00B12DC3" w14:paraId="588C0ECB" w14:textId="77777777" w:rsidTr="00FE1848">
        <w:trPr>
          <w:jc w:val="center"/>
        </w:trPr>
        <w:tc>
          <w:tcPr>
            <w:tcW w:w="2263" w:type="dxa"/>
          </w:tcPr>
          <w:p w14:paraId="38A62BDB" w14:textId="099ADEA8" w:rsidR="00477551" w:rsidRPr="00B12DC3" w:rsidRDefault="00477551" w:rsidP="0047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Разом за модуль 1</w:t>
            </w:r>
          </w:p>
        </w:tc>
        <w:tc>
          <w:tcPr>
            <w:tcW w:w="5954" w:type="dxa"/>
            <w:gridSpan w:val="3"/>
          </w:tcPr>
          <w:p w14:paraId="3CA5899A" w14:textId="77777777" w:rsidR="00477551" w:rsidRPr="00B12DC3" w:rsidRDefault="00477551" w:rsidP="0047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359CB9AE" w14:textId="4F26F5C2" w:rsidR="00477551" w:rsidRPr="00B12DC3" w:rsidRDefault="00477551" w:rsidP="0047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12DC3" w:rsidRPr="00B12DC3" w14:paraId="08FF90FC" w14:textId="77777777" w:rsidTr="00FE1848">
        <w:trPr>
          <w:jc w:val="center"/>
        </w:trPr>
        <w:tc>
          <w:tcPr>
            <w:tcW w:w="8217" w:type="dxa"/>
            <w:gridSpan w:val="4"/>
          </w:tcPr>
          <w:p w14:paraId="03F780D9" w14:textId="7EBEC7CE" w:rsidR="00477551" w:rsidRPr="00B12DC3" w:rsidRDefault="00477551" w:rsidP="00477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Тестовий контроль модуля 1 </w:t>
            </w:r>
          </w:p>
        </w:tc>
        <w:tc>
          <w:tcPr>
            <w:tcW w:w="1128" w:type="dxa"/>
          </w:tcPr>
          <w:p w14:paraId="4916C139" w14:textId="33848A95" w:rsidR="00477551" w:rsidRPr="00B12DC3" w:rsidRDefault="00477551" w:rsidP="0047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12DC3" w:rsidRPr="00B12DC3" w14:paraId="586F99CF" w14:textId="77777777" w:rsidTr="00E3634C">
        <w:trPr>
          <w:trHeight w:val="596"/>
          <w:jc w:val="center"/>
        </w:trPr>
        <w:tc>
          <w:tcPr>
            <w:tcW w:w="9345" w:type="dxa"/>
            <w:gridSpan w:val="5"/>
            <w:vAlign w:val="center"/>
          </w:tcPr>
          <w:p w14:paraId="1048EB17" w14:textId="590EB1BD" w:rsidR="00477551" w:rsidRPr="00B12DC3" w:rsidRDefault="00477551" w:rsidP="0047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 w:rsidR="006E7EF4"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Принципи проектування і розрахунку машин вібраційної дії</w:t>
            </w:r>
          </w:p>
        </w:tc>
      </w:tr>
      <w:tr w:rsidR="00B12DC3" w:rsidRPr="00B12DC3" w14:paraId="00FE4BC9" w14:textId="77777777" w:rsidTr="00FE1848">
        <w:trPr>
          <w:jc w:val="center"/>
        </w:trPr>
        <w:tc>
          <w:tcPr>
            <w:tcW w:w="2263" w:type="dxa"/>
          </w:tcPr>
          <w:p w14:paraId="6FEB15E4" w14:textId="3F8E2317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Тема 2.1. Загальні питання проектування вібраційних машин.</w:t>
            </w:r>
          </w:p>
        </w:tc>
        <w:tc>
          <w:tcPr>
            <w:tcW w:w="851" w:type="dxa"/>
          </w:tcPr>
          <w:p w14:paraId="28B3B4F4" w14:textId="297DE820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3402" w:type="dxa"/>
          </w:tcPr>
          <w:p w14:paraId="1131C87D" w14:textId="7AE14C15" w:rsidR="00A865D2" w:rsidRPr="00B12DC3" w:rsidRDefault="00B94A2D" w:rsidP="00A86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Знати етапи творення вібраційної машини. Розрізняти характеристики якості та надійності. Вибирати параметри коливань робочого органу вібраційної машини, загальної динамічної схеми і засіб генерування змушених коливань. Розуміти і аналізувати особливості вібраційних машин на стадії їх проектування. Використовувати набуті знання і практичні навички у наукових дослідженнях і виробництві.</w:t>
            </w:r>
          </w:p>
        </w:tc>
        <w:tc>
          <w:tcPr>
            <w:tcW w:w="1701" w:type="dxa"/>
          </w:tcPr>
          <w:p w14:paraId="356EA11D" w14:textId="77777777" w:rsidR="00BF3EA5" w:rsidRPr="00B12DC3" w:rsidRDefault="00BF3EA5" w:rsidP="00BF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Вивчення теоретичного 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DE520B4" w14:textId="702799A4" w:rsidR="00A865D2" w:rsidRPr="00B12DC3" w:rsidRDefault="00BF3EA5" w:rsidP="00BF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1A246333" w14:textId="547DCF3D" w:rsidR="00A865D2" w:rsidRPr="00B12DC3" w:rsidRDefault="005F6CBC" w:rsidP="00C03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12DC3" w:rsidRPr="00B12DC3" w14:paraId="51513A6F" w14:textId="77777777" w:rsidTr="00FE1848">
        <w:trPr>
          <w:jc w:val="center"/>
        </w:trPr>
        <w:tc>
          <w:tcPr>
            <w:tcW w:w="2263" w:type="dxa"/>
          </w:tcPr>
          <w:p w14:paraId="0A2C6C7F" w14:textId="4AE508E4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Тема 2.2. Розрахунок безударних вібраційних машин. </w:t>
            </w:r>
          </w:p>
        </w:tc>
        <w:tc>
          <w:tcPr>
            <w:tcW w:w="851" w:type="dxa"/>
          </w:tcPr>
          <w:p w14:paraId="654AE747" w14:textId="2EDB2365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3402" w:type="dxa"/>
          </w:tcPr>
          <w:p w14:paraId="05976FE7" w14:textId="65293AB5" w:rsidR="00A865D2" w:rsidRPr="00B12DC3" w:rsidRDefault="009F2A09" w:rsidP="00A8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Вміти вибирати і розраховувати необхідні параметри роботи безударних вібраційних машин. 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>Вміти з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абезпеч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потрібн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>амплітуду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вібрації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>ирати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оптимальний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варіант встановлення вібропривода на одному з інерційних елементів машини. 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Розрахувати </w:t>
            </w:r>
            <w:r w:rsidR="004B193B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необхідну 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отужність</w:t>
            </w:r>
            <w:r w:rsidR="004B193B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вібромашини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="004B193B" w:rsidRPr="00B12DC3">
              <w:rPr>
                <w:rFonts w:ascii="Times New Roman" w:hAnsi="Times New Roman" w:cs="Times New Roman"/>
                <w:sz w:val="24"/>
                <w:szCs w:val="24"/>
              </w:rPr>
              <w:t>знайти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квівалентні значення параметрів механічної системи.</w:t>
            </w:r>
            <w:r w:rsidR="00A91E06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93B"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Використовувати набуті знання і практичні навички у наукових дослідженнях і виробництві.</w:t>
            </w:r>
          </w:p>
        </w:tc>
        <w:tc>
          <w:tcPr>
            <w:tcW w:w="1701" w:type="dxa"/>
          </w:tcPr>
          <w:p w14:paraId="3A3E2D0D" w14:textId="77777777" w:rsidR="00BF3EA5" w:rsidRPr="00B12DC3" w:rsidRDefault="00BF3EA5" w:rsidP="00BF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Вивчення теоретичного 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DACB3FB" w14:textId="7E532AF4" w:rsidR="00A865D2" w:rsidRPr="00B12DC3" w:rsidRDefault="00BF3EA5" w:rsidP="00BF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05816D78" w14:textId="5E2ACC40" w:rsidR="00A865D2" w:rsidRPr="00B12DC3" w:rsidRDefault="005F6CBC" w:rsidP="00C03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12DC3" w:rsidRPr="00B12DC3" w14:paraId="3C1C23D9" w14:textId="77777777" w:rsidTr="00FE1848">
        <w:trPr>
          <w:jc w:val="center"/>
        </w:trPr>
        <w:tc>
          <w:tcPr>
            <w:tcW w:w="2263" w:type="dxa"/>
          </w:tcPr>
          <w:p w14:paraId="58AD7591" w14:textId="4F92DD02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Тема 2.3. Розрахунок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ударних вібраційних машин.</w:t>
            </w:r>
          </w:p>
        </w:tc>
        <w:tc>
          <w:tcPr>
            <w:tcW w:w="851" w:type="dxa"/>
          </w:tcPr>
          <w:p w14:paraId="118410B9" w14:textId="4AF56173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3402" w:type="dxa"/>
          </w:tcPr>
          <w:p w14:paraId="128242E8" w14:textId="1E40415D" w:rsidR="00A865D2" w:rsidRPr="00B12DC3" w:rsidRDefault="00511199" w:rsidP="00DB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Вміти вибирати і розраховувати необхідні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параметри роботи вібраційних машин ударного типу. 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>Складати розрахункові схеми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динамічн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абсолютно твердих тіл. 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>Розрізняти і аналізувати параметри розрахункових м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одел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твердого тіла із місцевими деформаціями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багатомасової системи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із розподіленими масами і заданою формою деформованого стану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із розподіленими параметрами. 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>Знати і вміти використовувати а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лгоритми розрахунку ударно-вібраційних машин.</w:t>
            </w:r>
            <w:r w:rsidR="00DB7660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660"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Використовувати набуті знання і практичні навички у наукових дослідженнях і виробництві.</w:t>
            </w:r>
          </w:p>
        </w:tc>
        <w:tc>
          <w:tcPr>
            <w:tcW w:w="1701" w:type="dxa"/>
          </w:tcPr>
          <w:p w14:paraId="57A3CDAC" w14:textId="77777777" w:rsidR="00BF3EA5" w:rsidRPr="00B12DC3" w:rsidRDefault="00BF3EA5" w:rsidP="00BF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Вивчення теоретичного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4D6C83" w14:textId="42162337" w:rsidR="00A865D2" w:rsidRPr="00B12DC3" w:rsidRDefault="00BF3EA5" w:rsidP="00BF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7748BA33" w14:textId="04C02B2F" w:rsidR="00A865D2" w:rsidRPr="00B12DC3" w:rsidRDefault="005F6CBC" w:rsidP="00C03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</w:tr>
      <w:tr w:rsidR="00B12DC3" w:rsidRPr="00B12DC3" w14:paraId="02F79543" w14:textId="77777777" w:rsidTr="00FE1848">
        <w:trPr>
          <w:jc w:val="center"/>
        </w:trPr>
        <w:tc>
          <w:tcPr>
            <w:tcW w:w="2263" w:type="dxa"/>
          </w:tcPr>
          <w:p w14:paraId="5A64504B" w14:textId="503568D2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2.4. Приводи вібраційних машин.</w:t>
            </w:r>
          </w:p>
        </w:tc>
        <w:tc>
          <w:tcPr>
            <w:tcW w:w="851" w:type="dxa"/>
          </w:tcPr>
          <w:p w14:paraId="5569450E" w14:textId="603A243E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3402" w:type="dxa"/>
          </w:tcPr>
          <w:p w14:paraId="428B14EF" w14:textId="407B9CD8" w:rsidR="00A865D2" w:rsidRPr="00B12DC3" w:rsidRDefault="00DB7660" w:rsidP="00A8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вміти класифікувати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і вибирати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приводи вібраційних машин. 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>Розрізняти м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еханіч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>ні, г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ідравлічні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лектрогідравлічні вібраційні приводи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>, їх принципову схему, особливості застосування. Знати принцип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втоматичн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налаштування вібраційних приводів на оптимальний режим.</w:t>
            </w:r>
            <w:r w:rsidR="00001BC4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BC4"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Використовувати набуті знання і практичні навички у наукових дослідженнях і виробництві.</w:t>
            </w:r>
          </w:p>
        </w:tc>
        <w:tc>
          <w:tcPr>
            <w:tcW w:w="1701" w:type="dxa"/>
          </w:tcPr>
          <w:p w14:paraId="6651C5C0" w14:textId="77777777" w:rsidR="00BF3EA5" w:rsidRPr="00B12DC3" w:rsidRDefault="00BF3EA5" w:rsidP="00BF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Вивчення теоретичного 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CAEEF69" w14:textId="6A1C4F9B" w:rsidR="00A865D2" w:rsidRPr="00B12DC3" w:rsidRDefault="00BF3EA5" w:rsidP="00BF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0E238024" w14:textId="10143109" w:rsidR="00A865D2" w:rsidRPr="00B12DC3" w:rsidRDefault="005F6CBC" w:rsidP="00C03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12DC3" w:rsidRPr="00B12DC3" w14:paraId="2B587232" w14:textId="77777777" w:rsidTr="00FE1848">
        <w:trPr>
          <w:jc w:val="center"/>
        </w:trPr>
        <w:tc>
          <w:tcPr>
            <w:tcW w:w="2263" w:type="dxa"/>
          </w:tcPr>
          <w:p w14:paraId="5E70E6FB" w14:textId="2C032AFD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Тема 2.5. Вібраційна техніка для обробки ґрунту.</w:t>
            </w:r>
          </w:p>
        </w:tc>
        <w:tc>
          <w:tcPr>
            <w:tcW w:w="851" w:type="dxa"/>
          </w:tcPr>
          <w:p w14:paraId="2C5A1908" w14:textId="14055EF3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3402" w:type="dxa"/>
          </w:tcPr>
          <w:p w14:paraId="177F0653" w14:textId="3052B59F" w:rsidR="00A865D2" w:rsidRPr="00B12DC3" w:rsidRDefault="00A95C05" w:rsidP="00A8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Знати принцип роботи і розрізняти основні вузли вібраційної техніки для обробки ґрунту. Знати і вміти аналізувати особливості вібрування кротово-дренажного плуга, причіпного канавокопача, струга, розрихлювача для важких кам’янистих ґрунтів, культиватора, плугів загального призначення, підкопуючих робочих органів коренеклубнезбиральних машин. Вміти вибрати оптимальні умови для процесу вібраційної обробки ґрунту. </w:t>
            </w: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Використовувати набуті знання і практичні навички у </w:t>
            </w: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наукових дослідженнях і виробництві.</w:t>
            </w:r>
          </w:p>
        </w:tc>
        <w:tc>
          <w:tcPr>
            <w:tcW w:w="1701" w:type="dxa"/>
          </w:tcPr>
          <w:p w14:paraId="5B26ECFC" w14:textId="77777777" w:rsidR="00BF3EA5" w:rsidRPr="00B12DC3" w:rsidRDefault="00BF3EA5" w:rsidP="00BF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 теоретичного 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225D63" w14:textId="7F5E6D2A" w:rsidR="00A865D2" w:rsidRPr="00B12DC3" w:rsidRDefault="00BF3EA5" w:rsidP="00BF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6465AADB" w14:textId="1BDF8864" w:rsidR="00A865D2" w:rsidRPr="00B12DC3" w:rsidRDefault="005F6CBC" w:rsidP="00C03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12DC3" w:rsidRPr="00B12DC3" w14:paraId="6712BBC0" w14:textId="77777777" w:rsidTr="00FE1848">
        <w:trPr>
          <w:jc w:val="center"/>
        </w:trPr>
        <w:tc>
          <w:tcPr>
            <w:tcW w:w="2263" w:type="dxa"/>
          </w:tcPr>
          <w:p w14:paraId="23515D18" w14:textId="1094F891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2.6. Вібраційна техніка для посіву, збирання та післязбиральних процесів. </w:t>
            </w:r>
          </w:p>
        </w:tc>
        <w:tc>
          <w:tcPr>
            <w:tcW w:w="851" w:type="dxa"/>
          </w:tcPr>
          <w:p w14:paraId="036D2CCD" w14:textId="16BB36FD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3402" w:type="dxa"/>
          </w:tcPr>
          <w:p w14:paraId="0E5C681A" w14:textId="7BA34D72" w:rsidR="00A865D2" w:rsidRPr="00B12DC3" w:rsidRDefault="00A95C05" w:rsidP="00A8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Знати принцип роботи і розрізняти основні вузли вібраційної техніки для посіву, збирання та післязбиральних процесів. Знати і вміти аналізувати особливості вібрування висівних машин</w:t>
            </w:r>
            <w:r w:rsidR="00EC2C09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машин для внесення добрив</w:t>
            </w:r>
            <w:r w:rsidR="00EC2C09" w:rsidRPr="00B12DC3">
              <w:rPr>
                <w:rFonts w:ascii="Times New Roman" w:hAnsi="Times New Roman" w:cs="Times New Roman"/>
                <w:sz w:val="24"/>
                <w:szCs w:val="24"/>
              </w:rPr>
              <w:t>, молотарок, машин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C09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очищенн</w:t>
            </w:r>
            <w:r w:rsidR="00EC2C09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я і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транспортуванн</w:t>
            </w:r>
            <w:r w:rsidR="00EC2C09" w:rsidRPr="00B12DC3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сепаруючих робочих органів коренеклубнезбиральних машин</w:t>
            </w:r>
            <w:r w:rsidR="00EC2C09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сушильних пристроїв.</w:t>
            </w:r>
            <w:r w:rsidR="00EC2C09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Вміти вибрати оптимальні умови для вібраційних процесів, в</w:t>
            </w:r>
            <w:r w:rsidR="00EC2C09"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икористовувати набуті знання і практичні навички у наукових дослідженнях і виробництві.</w:t>
            </w:r>
          </w:p>
        </w:tc>
        <w:tc>
          <w:tcPr>
            <w:tcW w:w="1701" w:type="dxa"/>
          </w:tcPr>
          <w:p w14:paraId="648EDA7E" w14:textId="77777777" w:rsidR="00BF3EA5" w:rsidRPr="00B12DC3" w:rsidRDefault="00BF3EA5" w:rsidP="00BF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Вивчення теоретичного 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1266B2" w14:textId="576105E3" w:rsidR="00A865D2" w:rsidRPr="00B12DC3" w:rsidRDefault="00BF3EA5" w:rsidP="00BF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7EFA6572" w14:textId="71AB10AE" w:rsidR="00A865D2" w:rsidRPr="00B12DC3" w:rsidRDefault="005F6CBC" w:rsidP="00C03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12DC3" w:rsidRPr="00B12DC3" w14:paraId="116C8444" w14:textId="77777777" w:rsidTr="00FE1848">
        <w:trPr>
          <w:jc w:val="center"/>
        </w:trPr>
        <w:tc>
          <w:tcPr>
            <w:tcW w:w="2263" w:type="dxa"/>
          </w:tcPr>
          <w:p w14:paraId="3C8FB42E" w14:textId="3E107F2F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Тема 2.7. Вібраційна техніка для ремонту та обробки деталей</w:t>
            </w:r>
          </w:p>
        </w:tc>
        <w:tc>
          <w:tcPr>
            <w:tcW w:w="851" w:type="dxa"/>
          </w:tcPr>
          <w:p w14:paraId="70002073" w14:textId="589702EC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CD33E8" w:rsidRPr="00B12DC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3402" w:type="dxa"/>
          </w:tcPr>
          <w:p w14:paraId="4FE9D084" w14:textId="5D0440FB" w:rsidR="00A865D2" w:rsidRPr="00B12DC3" w:rsidRDefault="00E753B4" w:rsidP="00A8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Знати принцип роботи і розрізняти основні вузли вібраційної техніки для ремонту та обробки деталей. Знати і вміти аналізувати особливості вібраційних процесів мийки деталей машин, відновлення оливних фільтрів, зварювання деталей, притирання клапанів, шліфування циліндрів, відновлення розмірів деталей. </w:t>
            </w:r>
            <w:r w:rsidR="006F5790" w:rsidRPr="00B12DC3">
              <w:rPr>
                <w:rFonts w:ascii="Times New Roman" w:hAnsi="Times New Roman" w:cs="Times New Roman"/>
                <w:sz w:val="24"/>
                <w:szCs w:val="24"/>
              </w:rPr>
              <w:t>Вміти вибрати оптимальні умови для вібраційних процесів ремонту та обробки деталей. В</w:t>
            </w:r>
            <w:r w:rsidR="006F5790"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икористовувати набуті знання і практичні навички у наукових дослідженнях і виробництві.</w:t>
            </w:r>
          </w:p>
        </w:tc>
        <w:tc>
          <w:tcPr>
            <w:tcW w:w="1701" w:type="dxa"/>
          </w:tcPr>
          <w:p w14:paraId="402BC7CE" w14:textId="77777777" w:rsidR="00BF3EA5" w:rsidRPr="00B12DC3" w:rsidRDefault="00BF3EA5" w:rsidP="00BF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Вивчення теоретичного матеріалу, виконання та захист лабораторної роботи в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7F131CA" w14:textId="6A9D0AB7" w:rsidR="00A865D2" w:rsidRPr="00B12DC3" w:rsidRDefault="00BF3EA5" w:rsidP="00BF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самостійне розв’язання задач за темою</w:t>
            </w:r>
          </w:p>
        </w:tc>
        <w:tc>
          <w:tcPr>
            <w:tcW w:w="1128" w:type="dxa"/>
          </w:tcPr>
          <w:p w14:paraId="5B100A6B" w14:textId="3B241A97" w:rsidR="00A865D2" w:rsidRPr="00B12DC3" w:rsidRDefault="005F6CBC" w:rsidP="00C03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12DC3" w:rsidRPr="00B12DC3" w14:paraId="15FDCA81" w14:textId="77777777" w:rsidTr="00FE1848">
        <w:trPr>
          <w:jc w:val="center"/>
        </w:trPr>
        <w:tc>
          <w:tcPr>
            <w:tcW w:w="2263" w:type="dxa"/>
            <w:vAlign w:val="center"/>
          </w:tcPr>
          <w:p w14:paraId="68A15980" w14:textId="692C85A9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Разом за модуль 2</w:t>
            </w:r>
          </w:p>
        </w:tc>
        <w:tc>
          <w:tcPr>
            <w:tcW w:w="5954" w:type="dxa"/>
            <w:gridSpan w:val="3"/>
          </w:tcPr>
          <w:p w14:paraId="2CD42BD7" w14:textId="77777777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62A2AE18" w14:textId="53D62B3D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12DC3" w:rsidRPr="00B12DC3" w14:paraId="24D3CAE4" w14:textId="77777777" w:rsidTr="00FE1848">
        <w:trPr>
          <w:jc w:val="center"/>
        </w:trPr>
        <w:tc>
          <w:tcPr>
            <w:tcW w:w="8217" w:type="dxa"/>
            <w:gridSpan w:val="4"/>
          </w:tcPr>
          <w:p w14:paraId="0963BA02" w14:textId="096F5561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Тестовий контроль модуля 2</w:t>
            </w:r>
          </w:p>
        </w:tc>
        <w:tc>
          <w:tcPr>
            <w:tcW w:w="1128" w:type="dxa"/>
          </w:tcPr>
          <w:p w14:paraId="51E3A23C" w14:textId="3AB36589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12DC3" w:rsidRPr="00B12DC3" w14:paraId="2EBBEF94" w14:textId="77777777" w:rsidTr="00FE1848">
        <w:trPr>
          <w:jc w:val="center"/>
        </w:trPr>
        <w:tc>
          <w:tcPr>
            <w:tcW w:w="8217" w:type="dxa"/>
            <w:gridSpan w:val="4"/>
          </w:tcPr>
          <w:p w14:paraId="0431962F" w14:textId="3BE01F2A" w:rsidR="00A865D2" w:rsidRPr="00B12DC3" w:rsidRDefault="00A865D2" w:rsidP="00A86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Навчальна робота за 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128" w:type="dxa"/>
          </w:tcPr>
          <w:p w14:paraId="7D5B32E1" w14:textId="60D795DA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12DC3" w:rsidRPr="00B12DC3" w14:paraId="6DB2CF82" w14:textId="77777777" w:rsidTr="00FE1848">
        <w:trPr>
          <w:jc w:val="center"/>
        </w:trPr>
        <w:tc>
          <w:tcPr>
            <w:tcW w:w="8217" w:type="dxa"/>
            <w:gridSpan w:val="4"/>
          </w:tcPr>
          <w:p w14:paraId="65422CF0" w14:textId="5A9802BE" w:rsidR="00A865D2" w:rsidRPr="00B12DC3" w:rsidRDefault="00A865D2" w:rsidP="00A8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128" w:type="dxa"/>
          </w:tcPr>
          <w:p w14:paraId="36C2E408" w14:textId="77777777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B12DC3" w:rsidRPr="00B12DC3" w14:paraId="751DC8C4" w14:textId="77777777" w:rsidTr="00FE1848">
        <w:trPr>
          <w:jc w:val="center"/>
        </w:trPr>
        <w:tc>
          <w:tcPr>
            <w:tcW w:w="8217" w:type="dxa"/>
            <w:gridSpan w:val="4"/>
          </w:tcPr>
          <w:p w14:paraId="7FCFAECD" w14:textId="77777777" w:rsidR="00A865D2" w:rsidRPr="00B12DC3" w:rsidRDefault="00A865D2" w:rsidP="00A86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128" w:type="dxa"/>
          </w:tcPr>
          <w:p w14:paraId="5D71E2FC" w14:textId="77777777" w:rsidR="00A865D2" w:rsidRPr="00B12DC3" w:rsidRDefault="00A865D2" w:rsidP="00A8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3BE09D59" w14:textId="77777777" w:rsidR="008F0141" w:rsidRPr="00B12DC3" w:rsidRDefault="008F0141">
      <w:pPr>
        <w:rPr>
          <w:rFonts w:ascii="Times New Roman" w:hAnsi="Times New Roman" w:cs="Times New Roman"/>
          <w:b/>
          <w:sz w:val="24"/>
          <w:szCs w:val="24"/>
        </w:rPr>
      </w:pPr>
      <w:r w:rsidRPr="00B12DC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F60813" w14:textId="77777777" w:rsidR="00EC07A1" w:rsidRPr="00B12DC3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E9752" w14:textId="77777777" w:rsidR="00130933" w:rsidRPr="00B12DC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C3">
        <w:rPr>
          <w:rFonts w:ascii="Times New Roman" w:hAnsi="Times New Roman" w:cs="Times New Roman"/>
          <w:b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6804"/>
      </w:tblGrid>
      <w:tr w:rsidR="00B12DC3" w:rsidRPr="00B12DC3" w14:paraId="4B1761A5" w14:textId="77777777" w:rsidTr="00130933">
        <w:tc>
          <w:tcPr>
            <w:tcW w:w="2660" w:type="dxa"/>
          </w:tcPr>
          <w:p w14:paraId="768FDD0F" w14:textId="77777777" w:rsidR="00130933" w:rsidRPr="00B12DC3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C6076A" w14:textId="77777777" w:rsidR="00130933" w:rsidRPr="00B12DC3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B12DC3" w:rsidRPr="00B12DC3" w14:paraId="5231A7E0" w14:textId="77777777" w:rsidTr="00130933">
        <w:tc>
          <w:tcPr>
            <w:tcW w:w="2660" w:type="dxa"/>
          </w:tcPr>
          <w:p w14:paraId="5B09E59C" w14:textId="77777777" w:rsidR="00130933" w:rsidRPr="00B12DC3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4671492" w14:textId="77777777" w:rsidR="00C276A8" w:rsidRPr="00B12DC3" w:rsidRDefault="00C276A8" w:rsidP="00C27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>Політика курсу будується на засадах академічної доброчесності</w:t>
            </w:r>
          </w:p>
          <w:p w14:paraId="39C59913" w14:textId="3C18C07C" w:rsidR="00C276A8" w:rsidRPr="00B12DC3" w:rsidRDefault="00B12DC3" w:rsidP="00C27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C276A8" w:rsidRPr="00B12DC3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https://mon.gov.ua/storage/app/media/npa/5a1fe9d9b7112.pdf</w:t>
              </w:r>
            </w:hyperlink>
            <w:r w:rsidR="00C276A8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C276A8" w:rsidRPr="00B12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відповідності зі основними напрямками стратегії розвитку НУБіПУ.</w:t>
            </w:r>
          </w:p>
          <w:p w14:paraId="7D5C1F82" w14:textId="323EB8DB" w:rsidR="00130933" w:rsidRPr="00B12DC3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</w:t>
            </w:r>
            <w:r w:rsidR="00BF627F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B12DC3" w14:paraId="4ECA6ED7" w14:textId="77777777" w:rsidTr="00130933">
        <w:tc>
          <w:tcPr>
            <w:tcW w:w="2660" w:type="dxa"/>
          </w:tcPr>
          <w:p w14:paraId="56021AB5" w14:textId="77777777" w:rsidR="00130933" w:rsidRPr="00B12DC3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66686A7F" w14:textId="77777777" w:rsidR="00130933" w:rsidRPr="00B12DC3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B12DC3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70B0CBD" w14:textId="77777777" w:rsidR="00130933" w:rsidRPr="00B12DC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49850" w14:textId="77777777" w:rsidR="00130933" w:rsidRPr="00B12DC3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3ECE1" w14:textId="77777777" w:rsidR="00130933" w:rsidRPr="00B12DC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C3">
        <w:rPr>
          <w:rFonts w:ascii="Times New Roman" w:hAnsi="Times New Roman" w:cs="Times New Roman"/>
          <w:b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B12DC3" w:rsidRPr="00B12DC3" w14:paraId="2E74C20F" w14:textId="77777777" w:rsidTr="00F56CDF">
        <w:tc>
          <w:tcPr>
            <w:tcW w:w="2376" w:type="dxa"/>
            <w:vMerge w:val="restart"/>
          </w:tcPr>
          <w:p w14:paraId="0F23804F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5FFE00E2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B12DC3" w:rsidRPr="00B12DC3" w14:paraId="11120445" w14:textId="77777777" w:rsidTr="00A71D92">
        <w:tc>
          <w:tcPr>
            <w:tcW w:w="2376" w:type="dxa"/>
            <w:vMerge/>
          </w:tcPr>
          <w:p w14:paraId="504578C3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1436BD57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130A66AF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B12DC3" w:rsidRPr="00B12DC3" w14:paraId="1B6BF9B3" w14:textId="77777777" w:rsidTr="00A71D92">
        <w:tc>
          <w:tcPr>
            <w:tcW w:w="2376" w:type="dxa"/>
          </w:tcPr>
          <w:p w14:paraId="7B3A837C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0ED323A3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50AD3CB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B12DC3" w:rsidRPr="00B12DC3" w14:paraId="655408BB" w14:textId="77777777" w:rsidTr="00A71D92">
        <w:tc>
          <w:tcPr>
            <w:tcW w:w="2376" w:type="dxa"/>
          </w:tcPr>
          <w:p w14:paraId="18571189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5F486F83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78EADE03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C3" w:rsidRPr="00B12DC3" w14:paraId="54C8D5C9" w14:textId="77777777" w:rsidTr="00A71D92">
        <w:tc>
          <w:tcPr>
            <w:tcW w:w="2376" w:type="dxa"/>
          </w:tcPr>
          <w:p w14:paraId="63DFE0A6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1EBA1DAB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6510E908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B12DC3" w14:paraId="0B45ED1F" w14:textId="77777777" w:rsidTr="00A71D92">
        <w:tc>
          <w:tcPr>
            <w:tcW w:w="2376" w:type="dxa"/>
          </w:tcPr>
          <w:p w14:paraId="37BE5FDB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1D701440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6FC59DDC" w14:textId="77777777" w:rsidR="00A71D92" w:rsidRPr="00B12DC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B1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DC3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14A67CD4" w14:textId="1C9D3987" w:rsidR="00544D46" w:rsidRPr="00B12DC3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82106C" w14:textId="4D74D25B" w:rsidR="00B40A12" w:rsidRPr="00B12DC3" w:rsidRDefault="00F57801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C3">
        <w:rPr>
          <w:rFonts w:ascii="Times New Roman" w:hAnsi="Times New Roman" w:cs="Times New Roman"/>
          <w:b/>
          <w:sz w:val="24"/>
          <w:szCs w:val="24"/>
        </w:rPr>
        <w:t xml:space="preserve">РЕКОМЕНДОВАНА </w:t>
      </w:r>
      <w:r w:rsidR="00B40A12" w:rsidRPr="00B12DC3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14:paraId="104CCE30" w14:textId="77777777" w:rsidR="00B40A12" w:rsidRPr="00B12DC3" w:rsidRDefault="00B40A12" w:rsidP="00B40A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DC3">
        <w:rPr>
          <w:rFonts w:ascii="Times New Roman" w:hAnsi="Times New Roman" w:cs="Times New Roman"/>
          <w:b/>
          <w:bCs/>
          <w:sz w:val="24"/>
          <w:szCs w:val="24"/>
        </w:rPr>
        <w:t>Основна</w:t>
      </w:r>
    </w:p>
    <w:p w14:paraId="6D8EAF39" w14:textId="77777777" w:rsidR="00B40A12" w:rsidRPr="00B12DC3" w:rsidRDefault="00B40A12" w:rsidP="00B40A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2DC3">
        <w:rPr>
          <w:rFonts w:ascii="Times New Roman" w:hAnsi="Times New Roman" w:cs="Times New Roman"/>
          <w:sz w:val="24"/>
          <w:szCs w:val="24"/>
        </w:rPr>
        <w:t>Булгаков В.М., Черниш</w:t>
      </w:r>
      <w:r w:rsidRPr="00B12DC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12DC3">
        <w:rPr>
          <w:rFonts w:ascii="Times New Roman" w:hAnsi="Times New Roman" w:cs="Times New Roman"/>
          <w:sz w:val="24"/>
          <w:szCs w:val="24"/>
        </w:rPr>
        <w:t>О.М., Березовий М.Г., Яременко В.В. Проектування машин вібраційної дії. Підручник. Перше перевидання. – К. Центр учбової літератури, 2019. – 704 с.</w:t>
      </w:r>
    </w:p>
    <w:p w14:paraId="15E508DB" w14:textId="77777777" w:rsidR="00B40A12" w:rsidRPr="00B12DC3" w:rsidRDefault="00B40A12" w:rsidP="00B40A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2DC3">
        <w:rPr>
          <w:rFonts w:ascii="Times New Roman" w:hAnsi="Times New Roman" w:cs="Times New Roman"/>
          <w:sz w:val="24"/>
          <w:szCs w:val="24"/>
        </w:rPr>
        <w:t>Бабенко А.Є, Бороніко О.О., Лавренко Я.І., Трубачев С.І.. Коливання неконсервативних механічних систем. Монографія. – К.: НТТУ КПІ ім. І. Сікорського, 2020. – 153 с.</w:t>
      </w:r>
    </w:p>
    <w:p w14:paraId="0E9189CF" w14:textId="4453CEDB" w:rsidR="00B40A12" w:rsidRPr="00B12DC3" w:rsidRDefault="004D6CDA" w:rsidP="00B40A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2DC3">
        <w:rPr>
          <w:rFonts w:ascii="Times New Roman" w:hAnsi="Times New Roman" w:cs="Times New Roman"/>
          <w:sz w:val="24"/>
          <w:szCs w:val="24"/>
          <w:lang w:val="en-US"/>
        </w:rPr>
        <w:t>Bulgakov V., Pascuzzi S., Holovach I., Olt J., Adamchuk V. and Santoro F. Theory of Vibrating Lifting Tools of Sugar Beet Harvesters. Monograph. Editorial office MDPI: St. Alban-Anlage 66 4052 Basel, Switzerland, 2022. – 295 p.</w:t>
      </w:r>
    </w:p>
    <w:p w14:paraId="00609249" w14:textId="77777777" w:rsidR="00B40A12" w:rsidRPr="00B12DC3" w:rsidRDefault="00B40A12" w:rsidP="00B40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8A3F5" w14:textId="77777777" w:rsidR="00B40A12" w:rsidRPr="00B12DC3" w:rsidRDefault="00B40A12" w:rsidP="00B40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DC3">
        <w:rPr>
          <w:rFonts w:ascii="Times New Roman" w:hAnsi="Times New Roman" w:cs="Times New Roman"/>
          <w:b/>
          <w:bCs/>
          <w:sz w:val="24"/>
          <w:szCs w:val="24"/>
        </w:rPr>
        <w:t>Допоміжна</w:t>
      </w:r>
    </w:p>
    <w:p w14:paraId="7916B2A3" w14:textId="508F3176" w:rsidR="00B40A12" w:rsidRPr="00B12DC3" w:rsidRDefault="00B40A12" w:rsidP="00B40A12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2DC3">
        <w:rPr>
          <w:rFonts w:ascii="Times New Roman" w:hAnsi="Times New Roman" w:cs="Times New Roman"/>
          <w:sz w:val="24"/>
          <w:szCs w:val="24"/>
        </w:rPr>
        <w:t>Булгаков В.М., Головач І.В., Черниш</w:t>
      </w:r>
      <w:r w:rsidRPr="00B12DC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12DC3">
        <w:rPr>
          <w:rFonts w:ascii="Times New Roman" w:hAnsi="Times New Roman" w:cs="Times New Roman"/>
          <w:sz w:val="24"/>
          <w:szCs w:val="24"/>
        </w:rPr>
        <w:t xml:space="preserve">О.М. та ін. </w:t>
      </w:r>
      <w:r w:rsidRPr="00B12DC3">
        <w:rPr>
          <w:rFonts w:ascii="Times New Roman" w:hAnsi="Times New Roman" w:cs="Times New Roman"/>
          <w:bCs/>
          <w:sz w:val="24"/>
          <w:szCs w:val="24"/>
        </w:rPr>
        <w:t xml:space="preserve">Проектування технічних систем ОЛК (вібраційної дії). Навчальний посібник. </w:t>
      </w:r>
      <w:r w:rsidRPr="00B12DC3">
        <w:rPr>
          <w:rFonts w:ascii="Times New Roman" w:hAnsi="Times New Roman" w:cs="Times New Roman"/>
          <w:sz w:val="24"/>
          <w:szCs w:val="24"/>
        </w:rPr>
        <w:t>– К. Центр навчальної літератури, 2020.– 556 с.</w:t>
      </w:r>
    </w:p>
    <w:p w14:paraId="26BA0DA2" w14:textId="77777777" w:rsidR="00B40A12" w:rsidRPr="00B12DC3" w:rsidRDefault="00B40A12" w:rsidP="00B40A12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2DC3">
        <w:rPr>
          <w:rFonts w:ascii="Times New Roman" w:hAnsi="Times New Roman" w:cs="Times New Roman"/>
          <w:sz w:val="24"/>
          <w:szCs w:val="24"/>
        </w:rPr>
        <w:t>Дідковський В.С., Дрозденко К.С. Основи аналітичної механіки і теорії коливань. Підручник. – К.: Ел. мережн. вид. НТТУ КПІ ім. І. Сікорського, 2023. – 149 с.</w:t>
      </w:r>
    </w:p>
    <w:p w14:paraId="3657FAB4" w14:textId="00C68665" w:rsidR="004D6CDA" w:rsidRPr="00B12DC3" w:rsidRDefault="004D6CDA" w:rsidP="00B40A12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2DC3">
        <w:rPr>
          <w:rFonts w:ascii="Times New Roman" w:hAnsi="Times New Roman" w:cs="Times New Roman"/>
          <w:sz w:val="24"/>
          <w:szCs w:val="24"/>
          <w:lang w:val="en-US"/>
        </w:rPr>
        <w:t xml:space="preserve">Filimonikhin G., Yatsun V., Kyrychenko A., Hrechka A., Shcherbyna K. Synthesizing a resonance anti- phase two-mass vibratory machine whose operation is based on the Sommerfeld effect // Eastern-European Journal of Enterprise Technologies. 2020. № 6/7 (108). Р. 42-50. </w:t>
      </w:r>
      <w:proofErr w:type="gramStart"/>
      <w:r w:rsidRPr="00B12DC3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B12DC3">
        <w:rPr>
          <w:rFonts w:ascii="Times New Roman" w:hAnsi="Times New Roman" w:cs="Times New Roman"/>
          <w:sz w:val="24"/>
          <w:szCs w:val="24"/>
        </w:rPr>
        <w:t xml:space="preserve"> https://doi.org/10.15587/1729-4061.2020.217628.</w:t>
      </w:r>
    </w:p>
    <w:p w14:paraId="16114879" w14:textId="77777777" w:rsidR="00B40A12" w:rsidRPr="00B12DC3" w:rsidRDefault="00B40A12" w:rsidP="00CE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0A12" w:rsidRPr="00B12DC3" w:rsidSect="006739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0D16"/>
    <w:multiLevelType w:val="hybridMultilevel"/>
    <w:tmpl w:val="005073FA"/>
    <w:lvl w:ilvl="0" w:tplc="C63093B6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6C92"/>
    <w:multiLevelType w:val="hybridMultilevel"/>
    <w:tmpl w:val="D832700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6626BA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20354B7"/>
    <w:multiLevelType w:val="hybridMultilevel"/>
    <w:tmpl w:val="7BCCD830"/>
    <w:lvl w:ilvl="0" w:tplc="D4EE3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1BC4"/>
    <w:rsid w:val="000259CB"/>
    <w:rsid w:val="00026D64"/>
    <w:rsid w:val="00036BEE"/>
    <w:rsid w:val="00057C45"/>
    <w:rsid w:val="00064DD2"/>
    <w:rsid w:val="000B00B2"/>
    <w:rsid w:val="000B13AE"/>
    <w:rsid w:val="001025AC"/>
    <w:rsid w:val="00130430"/>
    <w:rsid w:val="00130933"/>
    <w:rsid w:val="001431F8"/>
    <w:rsid w:val="00146F01"/>
    <w:rsid w:val="00166E99"/>
    <w:rsid w:val="001C5EFE"/>
    <w:rsid w:val="001F042E"/>
    <w:rsid w:val="001F05E8"/>
    <w:rsid w:val="001F5978"/>
    <w:rsid w:val="0020200E"/>
    <w:rsid w:val="00243C9A"/>
    <w:rsid w:val="00246136"/>
    <w:rsid w:val="002508F1"/>
    <w:rsid w:val="00256524"/>
    <w:rsid w:val="002567AA"/>
    <w:rsid w:val="00287E72"/>
    <w:rsid w:val="002A0834"/>
    <w:rsid w:val="002C3113"/>
    <w:rsid w:val="002E2A10"/>
    <w:rsid w:val="002F4438"/>
    <w:rsid w:val="00311467"/>
    <w:rsid w:val="003122C0"/>
    <w:rsid w:val="00321FC4"/>
    <w:rsid w:val="00325EBE"/>
    <w:rsid w:val="00347CA7"/>
    <w:rsid w:val="00355AD5"/>
    <w:rsid w:val="00362DA3"/>
    <w:rsid w:val="003A320C"/>
    <w:rsid w:val="003C0708"/>
    <w:rsid w:val="003C57A6"/>
    <w:rsid w:val="003F5585"/>
    <w:rsid w:val="00417F32"/>
    <w:rsid w:val="004203CA"/>
    <w:rsid w:val="00424235"/>
    <w:rsid w:val="00432130"/>
    <w:rsid w:val="0045116E"/>
    <w:rsid w:val="00464814"/>
    <w:rsid w:val="00477551"/>
    <w:rsid w:val="00493030"/>
    <w:rsid w:val="004B193B"/>
    <w:rsid w:val="004D2135"/>
    <w:rsid w:val="004D440B"/>
    <w:rsid w:val="004D6CDA"/>
    <w:rsid w:val="00511199"/>
    <w:rsid w:val="00520565"/>
    <w:rsid w:val="00530E4B"/>
    <w:rsid w:val="005410E2"/>
    <w:rsid w:val="00544D46"/>
    <w:rsid w:val="0054563D"/>
    <w:rsid w:val="00547543"/>
    <w:rsid w:val="00555521"/>
    <w:rsid w:val="00571301"/>
    <w:rsid w:val="005750F5"/>
    <w:rsid w:val="00581698"/>
    <w:rsid w:val="005A70C9"/>
    <w:rsid w:val="005B478E"/>
    <w:rsid w:val="005D323C"/>
    <w:rsid w:val="005F60A2"/>
    <w:rsid w:val="005F6CBC"/>
    <w:rsid w:val="0060094F"/>
    <w:rsid w:val="00613C62"/>
    <w:rsid w:val="00642752"/>
    <w:rsid w:val="00647FE0"/>
    <w:rsid w:val="00654D54"/>
    <w:rsid w:val="00657882"/>
    <w:rsid w:val="0066140B"/>
    <w:rsid w:val="00662A3A"/>
    <w:rsid w:val="006739C1"/>
    <w:rsid w:val="00677E9A"/>
    <w:rsid w:val="00690FAE"/>
    <w:rsid w:val="006A72F7"/>
    <w:rsid w:val="006B530D"/>
    <w:rsid w:val="006E7EF4"/>
    <w:rsid w:val="006F5790"/>
    <w:rsid w:val="00713231"/>
    <w:rsid w:val="00733BE7"/>
    <w:rsid w:val="007622F8"/>
    <w:rsid w:val="007757E2"/>
    <w:rsid w:val="007B5D44"/>
    <w:rsid w:val="007C195B"/>
    <w:rsid w:val="007E0FE8"/>
    <w:rsid w:val="007E258A"/>
    <w:rsid w:val="00804E21"/>
    <w:rsid w:val="00806231"/>
    <w:rsid w:val="00845BD0"/>
    <w:rsid w:val="00880706"/>
    <w:rsid w:val="008927AA"/>
    <w:rsid w:val="008964E1"/>
    <w:rsid w:val="008A6235"/>
    <w:rsid w:val="008C47E7"/>
    <w:rsid w:val="008E3E6E"/>
    <w:rsid w:val="008F0141"/>
    <w:rsid w:val="00906C17"/>
    <w:rsid w:val="00911AEA"/>
    <w:rsid w:val="009908FA"/>
    <w:rsid w:val="00992796"/>
    <w:rsid w:val="009A59C3"/>
    <w:rsid w:val="009D4C10"/>
    <w:rsid w:val="009F2A09"/>
    <w:rsid w:val="00A42EC6"/>
    <w:rsid w:val="00A71D92"/>
    <w:rsid w:val="00A865D2"/>
    <w:rsid w:val="00A91E06"/>
    <w:rsid w:val="00A95C05"/>
    <w:rsid w:val="00A96EF1"/>
    <w:rsid w:val="00AA1D42"/>
    <w:rsid w:val="00AA53ED"/>
    <w:rsid w:val="00AB0F94"/>
    <w:rsid w:val="00AB39E0"/>
    <w:rsid w:val="00AF3D40"/>
    <w:rsid w:val="00B058A1"/>
    <w:rsid w:val="00B12DC3"/>
    <w:rsid w:val="00B40A12"/>
    <w:rsid w:val="00B41445"/>
    <w:rsid w:val="00B74557"/>
    <w:rsid w:val="00B85D51"/>
    <w:rsid w:val="00B90C0C"/>
    <w:rsid w:val="00B94A2D"/>
    <w:rsid w:val="00BA1E86"/>
    <w:rsid w:val="00BB04F1"/>
    <w:rsid w:val="00BB39DC"/>
    <w:rsid w:val="00BC3125"/>
    <w:rsid w:val="00BF3EA5"/>
    <w:rsid w:val="00BF627F"/>
    <w:rsid w:val="00C0249E"/>
    <w:rsid w:val="00C039FA"/>
    <w:rsid w:val="00C14F4F"/>
    <w:rsid w:val="00C20065"/>
    <w:rsid w:val="00C26BB1"/>
    <w:rsid w:val="00C276A8"/>
    <w:rsid w:val="00C474B4"/>
    <w:rsid w:val="00C548D5"/>
    <w:rsid w:val="00CD33E8"/>
    <w:rsid w:val="00CD5701"/>
    <w:rsid w:val="00CE3082"/>
    <w:rsid w:val="00D47D17"/>
    <w:rsid w:val="00D64383"/>
    <w:rsid w:val="00D707CE"/>
    <w:rsid w:val="00D758FB"/>
    <w:rsid w:val="00D869E3"/>
    <w:rsid w:val="00DB7660"/>
    <w:rsid w:val="00DD7841"/>
    <w:rsid w:val="00DE5FFC"/>
    <w:rsid w:val="00DF4BE3"/>
    <w:rsid w:val="00E30F8D"/>
    <w:rsid w:val="00E3605D"/>
    <w:rsid w:val="00E3634C"/>
    <w:rsid w:val="00E753B4"/>
    <w:rsid w:val="00E77AA1"/>
    <w:rsid w:val="00EB2C72"/>
    <w:rsid w:val="00EC07A1"/>
    <w:rsid w:val="00EC2C09"/>
    <w:rsid w:val="00ED3451"/>
    <w:rsid w:val="00EE3319"/>
    <w:rsid w:val="00EE7E79"/>
    <w:rsid w:val="00F11963"/>
    <w:rsid w:val="00F161BA"/>
    <w:rsid w:val="00F24A05"/>
    <w:rsid w:val="00F30049"/>
    <w:rsid w:val="00F34D2E"/>
    <w:rsid w:val="00F35A71"/>
    <w:rsid w:val="00F519B6"/>
    <w:rsid w:val="00F56CDF"/>
    <w:rsid w:val="00F57801"/>
    <w:rsid w:val="00F7324F"/>
    <w:rsid w:val="00F82151"/>
    <w:rsid w:val="00F91037"/>
    <w:rsid w:val="00FA2093"/>
    <w:rsid w:val="00FA376E"/>
    <w:rsid w:val="00FB1FAE"/>
    <w:rsid w:val="00FD0236"/>
    <w:rsid w:val="00FE1848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BB21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47FE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7FE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276A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D6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npa/5a1fe9d9b71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5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nysh@nubip.edu.ua_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9014</Words>
  <Characters>5138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User</cp:lastModifiedBy>
  <cp:revision>4</cp:revision>
  <cp:lastPrinted>2024-01-04T12:15:00Z</cp:lastPrinted>
  <dcterms:created xsi:type="dcterms:W3CDTF">2024-02-08T16:20:00Z</dcterms:created>
  <dcterms:modified xsi:type="dcterms:W3CDTF">2024-02-08T17:02:00Z</dcterms:modified>
</cp:coreProperties>
</file>