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>Науково-педагогічна діяльність</w:t>
      </w:r>
    </w:p>
    <w:p w:rsidR="000E5C09" w:rsidRPr="00AF38D7" w:rsidRDefault="004B424C" w:rsidP="000E5C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доцента</w:t>
      </w:r>
      <w:r w:rsidR="000E5C09" w:rsidRPr="00AF38D7">
        <w:rPr>
          <w:rFonts w:ascii="Times New Roman" w:hAnsi="Times New Roman" w:cs="Times New Roman"/>
        </w:rPr>
        <w:t xml:space="preserve"> кафедри </w:t>
      </w:r>
      <w:r w:rsidR="00186C96">
        <w:rPr>
          <w:rFonts w:ascii="Times New Roman" w:hAnsi="Times New Roman" w:cs="Times New Roman"/>
        </w:rPr>
        <w:t>ботаніки, дендрології та лісової селекції</w:t>
      </w:r>
    </w:p>
    <w:p w:rsidR="000E5C09" w:rsidRPr="00AF38D7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F38D7">
        <w:rPr>
          <w:rFonts w:ascii="Times New Roman" w:hAnsi="Times New Roman" w:cs="Times New Roman"/>
          <w:i/>
        </w:rPr>
        <w:t xml:space="preserve">(відповідно до бази ЄДБО) </w:t>
      </w:r>
    </w:p>
    <w:p w:rsidR="000E5C09" w:rsidRPr="00AF38D7" w:rsidRDefault="00186C96" w:rsidP="000E5C09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Чурілова</w:t>
      </w:r>
      <w:proofErr w:type="spellEnd"/>
      <w:r>
        <w:rPr>
          <w:rFonts w:ascii="Times New Roman" w:hAnsi="Times New Roman" w:cs="Times New Roman"/>
          <w:b/>
        </w:rPr>
        <w:t xml:space="preserve"> Андрія Михайловича</w:t>
      </w:r>
    </w:p>
    <w:p w:rsidR="000B7521" w:rsidRPr="00AF38D7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F38D7">
        <w:rPr>
          <w:rFonts w:ascii="Times New Roman" w:hAnsi="Times New Roman" w:cs="Times New Roman"/>
        </w:rPr>
        <w:t xml:space="preserve">Додаток </w:t>
      </w:r>
      <w:r w:rsidRPr="00AF38D7">
        <w:rPr>
          <w:rFonts w:ascii="Times New Roman" w:hAnsi="Times New Roman" w:cs="Times New Roman"/>
          <w:lang w:val="ru-RU"/>
        </w:rPr>
        <w:t>1</w:t>
      </w:r>
    </w:p>
    <w:tbl>
      <w:tblPr>
        <w:tblStyle w:val="a4"/>
        <w:tblW w:w="15276" w:type="dxa"/>
        <w:tblLook w:val="04A0"/>
      </w:tblPr>
      <w:tblGrid>
        <w:gridCol w:w="1408"/>
        <w:gridCol w:w="13868"/>
      </w:tblGrid>
      <w:tr w:rsidR="00AF38D7" w:rsidRPr="00AF38D7" w:rsidTr="007B107A">
        <w:tc>
          <w:tcPr>
            <w:tcW w:w="15276" w:type="dxa"/>
            <w:gridSpan w:val="2"/>
          </w:tcPr>
          <w:p w:rsidR="000B7521" w:rsidRPr="00AF38D7" w:rsidRDefault="000B7521" w:rsidP="00A54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4106" w:type="dxa"/>
          </w:tcPr>
          <w:p w:rsidR="000B7521" w:rsidRPr="00AF38D7" w:rsidRDefault="000B7521" w:rsidP="00A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4106" w:type="dxa"/>
          </w:tcPr>
          <w:p w:rsidR="000B7521" w:rsidRPr="00AF38D7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4B424C" w:rsidRPr="004B424C" w:rsidRDefault="004B424C" w:rsidP="004B424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Ковалевський С. Б., Марчук Ю. М., Маєвський К. В., Курдюк О. М., Ковалевський С. С., Марчук О. О.,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А. М., Демченко О. О., Шевчук М. О., Дубчак М. Ю., Кроль А. В.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Дендрорекультивація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лісових земель Житомирщини, порушених унаслідок видобутку бурштину. Київ: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Ямчинський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О., 2019. 330 с.</w:t>
            </w:r>
          </w:p>
          <w:p w:rsidR="004B424C" w:rsidRPr="004B424C" w:rsidRDefault="004B424C" w:rsidP="004B424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А. М.,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Якубенко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Б. Є.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Синантропізаційний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аналіз флористичної структури за демутацій рослинного покриву луків у Лісостепу України / Флористичне і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ценотичне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різноманіття у відновленні, охороні та збереженні рослинного світу : монографія / Колектив авторів за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заг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. ред. С. М. Ніколаєнка. – К.: Видавництво Ліра-К, 2018. – 486 с. С. 83–95; 447–448.</w:t>
            </w:r>
          </w:p>
          <w:p w:rsidR="004B424C" w:rsidRPr="004B424C" w:rsidRDefault="004B424C" w:rsidP="004B424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Белінська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М. М.,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Сасюк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А. В.,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Якубенко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Б. Є.,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А. М. Національний природний парк "Мале Полісся": шлях до створення, особливості природи та діяльність / Флористичне і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ценотичне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різноманіття у відновленні, охороні та збереженні рослинного світу : монографія / Колектив авторів за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заг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. ред. С. М. Ніколаєнка. – К.: Видавництво Ліра-К, 2018. – 486 с. С. 199–225; 458–459.</w:t>
            </w:r>
          </w:p>
          <w:p w:rsidR="00963CF1" w:rsidRPr="00AF38D7" w:rsidRDefault="00963CF1" w:rsidP="00963CF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Підручник</w:t>
            </w:r>
          </w:p>
          <w:p w:rsidR="004843A7" w:rsidRPr="00AF38D7" w:rsidRDefault="00186C96" w:rsidP="00186C96">
            <w:pPr>
              <w:pStyle w:val="a9"/>
              <w:numPr>
                <w:ilvl w:val="0"/>
                <w:numId w:val="3"/>
              </w:numPr>
              <w:ind w:right="-28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Ґрунтознавство з основами геоботаніки. Підручник для студентів спеціальності «193 Геодезія та землеустрій» </w:t>
            </w:r>
            <w:proofErr w:type="spellStart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НУБіП</w:t>
            </w:r>
            <w:proofErr w:type="spellEnd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України // М.Ф. Бережняк, Б.Є. </w:t>
            </w:r>
            <w:proofErr w:type="spellStart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Якубенко</w:t>
            </w:r>
            <w:proofErr w:type="spellEnd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, О.В.</w:t>
            </w:r>
            <w:proofErr w:type="spellStart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Тонха</w:t>
            </w:r>
            <w:proofErr w:type="spellEnd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, А.М. </w:t>
            </w:r>
            <w:proofErr w:type="spellStart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Чурілов</w:t>
            </w:r>
            <w:proofErr w:type="spellEnd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, Р.В. </w:t>
            </w:r>
            <w:proofErr w:type="spellStart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Сендзю</w:t>
            </w:r>
            <w:r w:rsidR="00D8357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к</w:t>
            </w:r>
            <w:proofErr w:type="spellEnd"/>
            <w:r w:rsidR="00D8357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, Є.М.Бережняк. Київ: Ліра-К, 2</w:t>
            </w:r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021. 634 с. (40,5 д.а.</w:t>
            </w:r>
            <w:r w:rsidR="004843A7" w:rsidRPr="00AF38D7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:rsidR="00963CF1" w:rsidRPr="00AF38D7" w:rsidRDefault="00963CF1" w:rsidP="00963CF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Посібники</w:t>
            </w:r>
          </w:p>
          <w:p w:rsidR="00186C96" w:rsidRPr="00186C96" w:rsidRDefault="00186C96" w:rsidP="00186C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Якубенко Б. Є., Попович С. Ю., Устименко П. М., Дубина Д. В.,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Чурілов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 М.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Геоботаніка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методичні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аспекти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досліджень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Навчальний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посібник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К.: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Ліра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-К, 2017. – 368 с. </w:t>
            </w:r>
          </w:p>
          <w:p w:rsidR="00186C96" w:rsidRPr="00186C96" w:rsidRDefault="00186C96" w:rsidP="00186C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Бережняк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М.Ф.,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Якубенко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Б.Є.,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Чурілов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А.М.,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Сендзюк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Р.В.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Ґрунтознавство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основами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геоботаніки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посібник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За ред. д-ра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біол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наук, проф. Б.Є. Якубенка– К.: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Ліра-К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2017. – 567 с. </w:t>
            </w:r>
          </w:p>
          <w:p w:rsidR="00186C96" w:rsidRDefault="00186C96" w:rsidP="00186C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Бережняк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М.Ф.,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Якубенко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Б.Є.,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Тонха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О.Л.,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Чурілов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А.М.,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Сендзюк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Р.В.,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Бережняк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Є.М.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Ґрунтознавство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основами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геоботаніки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посібник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перевидання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За ред. д-ра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біол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наук, проф.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Б.Є.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Якубенка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К.: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Ліра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-К, 2019. – 600 с.</w:t>
            </w:r>
          </w:p>
          <w:p w:rsidR="00186C96" w:rsidRPr="00186C96" w:rsidRDefault="00186C96" w:rsidP="00186C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Якубенко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Є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Попович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Устименко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Дубина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Чурілов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«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Геоботаніка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методичні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аспекти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досліджень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посібник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За ред. Б.Є.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Якубенка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перевидання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– К.: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Ліра-К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2021. – 317 с. (20.5 д.а.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0B7521" w:rsidRPr="00AF38D7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Статті:</w:t>
            </w:r>
          </w:p>
          <w:p w:rsidR="004A77DB" w:rsidRPr="004A77DB" w:rsidRDefault="004A77DB" w:rsidP="00E763F2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Lesiv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, M.,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Schepaschenko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Buchhorn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2015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a 100 m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resolution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2022.</w:t>
            </w:r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9, 199. </w:t>
            </w:r>
            <w:hyperlink r:id="rId5" w:history="1">
              <w:r w:rsidRPr="004A77D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https://doi.org/10.1038/s41597-022-01332-3</w:t>
              </w:r>
            </w:hyperlink>
          </w:p>
          <w:p w:rsidR="004A77DB" w:rsidRPr="004A77DB" w:rsidRDefault="004A77DB" w:rsidP="004A77D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Ковалевський С. Б., Марчук Ю. М., Маєвський К. В., Ковалевський С. С.,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А. М.. Комплексний підхід до реабілітації лісових земель Житомирського Полісся, пошкоджених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епромисловим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видобутком бурштину / Зб. наук. праць. Науковий вісник НЛТУ. – Львів, 2021. – Вип. 31(4). – с. 43-48.</w:t>
            </w:r>
          </w:p>
          <w:p w:rsidR="004A77DB" w:rsidRPr="004A77DB" w:rsidRDefault="004A77DB" w:rsidP="0044056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Ковалевський С. Б., Марчук Ю. М., Маєвський К. В., Ковалевський С. С.,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А. М. Екологічні наслідки негативного впливу несанкціонованого видобутку бурштину на лісові ділянки Житомирщини / Науковий журнал UKRAINIAN JOURNAL OF FOREST AND WOOD SCIENCE. – Київ, 2021. – Том 12 № 1. – с. 57-68.</w:t>
            </w:r>
          </w:p>
          <w:p w:rsidR="00DA62AD" w:rsidRPr="00DA62AD" w:rsidRDefault="00DA62AD" w:rsidP="00DA62AD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Likhanov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Oliinyk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Pashkevych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Churilov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Kozyr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Role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Flavonoids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Invasion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Strategy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Solidago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canadensis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L.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Plants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2021. </w:t>
            </w:r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10(8):174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 DOI: 10.3390/plants10081748.</w:t>
            </w:r>
          </w:p>
          <w:p w:rsidR="00A5447F" w:rsidRDefault="00DA62AD" w:rsidP="00DA62AD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Chyzhyk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Churilov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Sensivity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Phytopatogenic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Nodule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Soybean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Bactwria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micronutrient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Drugs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obtained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Electropulse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Ablation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Proceeding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Agronomy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Kragujevac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2021.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ssue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12 - P.19-27</w:t>
            </w:r>
          </w:p>
          <w:p w:rsidR="00A5447F" w:rsidRPr="00A5447F" w:rsidRDefault="00A5447F" w:rsidP="00A5447F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Andrii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Churilov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Igor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Goncharenko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Olha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Kravchenko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Serhii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Kovalevskyi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Yurii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Marchuk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Konstantin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Maevskyi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Serhii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Kovalevskyi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Olha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Marchuk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Maria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Shevchuk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Maria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Dubchak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Phytoindicative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anthropogenic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transformation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vegetation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disturbed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areas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illegal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amber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mining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Western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Polissya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Forestry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Ideas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Vol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26,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1. 2020. 191-208. </w:t>
            </w:r>
            <w:hyperlink r:id="rId6" w:history="1">
              <w:r w:rsidRPr="00A544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http://oaji.net/articles/2020/6191-1594755615.pdf</w:t>
              </w:r>
            </w:hyperlink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447F" w:rsidRPr="00A5447F" w:rsidRDefault="00A5447F" w:rsidP="00A5447F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Якубенко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Б.Є.,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А.М. Біологічна структура відновлювального рослинного покриву луків  Лісостепу України //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Ukrainian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Vol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. 10. № 3, 2019. С. 7-14.</w:t>
            </w:r>
          </w:p>
          <w:p w:rsidR="00A5447F" w:rsidRPr="00A5447F" w:rsidRDefault="00A5447F" w:rsidP="00A5447F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Кисіль Д.О.,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А.М. Екологічна структура відновлюваного рослинного покриву перелогів правобережної частини Лісостепу України //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Strategy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Industry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Bulgaria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Varna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, 2019. P. 204-208.</w:t>
            </w:r>
          </w:p>
          <w:p w:rsidR="00A5447F" w:rsidRPr="004A77DB" w:rsidRDefault="00A5447F" w:rsidP="004A77D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Якубенко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Б.Є.,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А.М. Необхідність заповідання ділянок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остепнених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луків урочища «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Великосалтанівська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балка» в межах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Стугненського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 природного коридору (Київська область, Україна) // Наук.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Терноп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нац. педагогічного ун-ту імені Володимира Гнатюка. Сер.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Біол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. – 2017, № 1(68). – С.59–64.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Науково-дослідні роботи </w:t>
            </w:r>
          </w:p>
        </w:tc>
        <w:tc>
          <w:tcPr>
            <w:tcW w:w="14106" w:type="dxa"/>
          </w:tcPr>
          <w:p w:rsidR="00A83CDF" w:rsidRPr="007200C8" w:rsidRDefault="00A83CDF" w:rsidP="00A83CDF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науково-дослідної роботи «</w:t>
            </w:r>
            <w:r w:rsidRPr="005D5001">
              <w:rPr>
                <w:rFonts w:ascii="Times New Roman" w:hAnsi="Times New Roman" w:cs="Times New Roman"/>
                <w:sz w:val="20"/>
                <w:szCs w:val="20"/>
              </w:rPr>
              <w:t>Теоретичні основи відновлення і охорони лучної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рослинності Лісостепу України»,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державний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реєстраційний номер </w:t>
            </w:r>
            <w:r w:rsidRPr="005D5001">
              <w:rPr>
                <w:rFonts w:ascii="Times New Roman" w:hAnsi="Times New Roman" w:cs="Times New Roman"/>
                <w:sz w:val="20"/>
                <w:szCs w:val="20"/>
              </w:rPr>
              <w:t>0113U003849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2013-2017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3CDF" w:rsidRPr="007200C8" w:rsidRDefault="00A83CDF" w:rsidP="00A83CDF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Ініціативної теми «</w:t>
            </w:r>
            <w:r w:rsidRPr="005D5001">
              <w:rPr>
                <w:rFonts w:ascii="Times New Roman" w:hAnsi="Times New Roman" w:cs="Times New Roman"/>
                <w:sz w:val="20"/>
                <w:szCs w:val="20"/>
              </w:rPr>
              <w:t>Розробка заходів збереження та сталого використання лісової рослинності південної частини Київського Правобережного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олісся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», державний реєстраційний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01">
              <w:rPr>
                <w:rFonts w:ascii="Times New Roman" w:hAnsi="Times New Roman" w:cs="Times New Roman"/>
                <w:sz w:val="20"/>
                <w:szCs w:val="20"/>
              </w:rPr>
              <w:t>0112U002881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2012 - 2023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3CDF" w:rsidRPr="007200C8" w:rsidRDefault="00A83CDF" w:rsidP="00A83CDF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Ініціативної теми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200C8">
              <w:rPr>
                <w:rFonts w:ascii="Times New Roman" w:hAnsi="Times New Roman" w:cs="Times New Roman"/>
                <w:sz w:val="20"/>
                <w:szCs w:val="20"/>
              </w:rPr>
              <w:t xml:space="preserve">Флористичне і </w:t>
            </w:r>
            <w:proofErr w:type="spellStart"/>
            <w:r w:rsidRPr="007200C8">
              <w:rPr>
                <w:rFonts w:ascii="Times New Roman" w:hAnsi="Times New Roman" w:cs="Times New Roman"/>
                <w:sz w:val="20"/>
                <w:szCs w:val="20"/>
              </w:rPr>
              <w:t>ценотичне</w:t>
            </w:r>
            <w:proofErr w:type="spellEnd"/>
            <w:r w:rsidRPr="00720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0C8">
              <w:rPr>
                <w:rFonts w:ascii="Times New Roman" w:hAnsi="Times New Roman" w:cs="Times New Roman"/>
                <w:sz w:val="20"/>
                <w:szCs w:val="20"/>
              </w:rPr>
              <w:t>фіторізноманіття</w:t>
            </w:r>
            <w:proofErr w:type="spellEnd"/>
            <w:r w:rsidRPr="007200C8">
              <w:rPr>
                <w:rFonts w:ascii="Times New Roman" w:hAnsi="Times New Roman" w:cs="Times New Roman"/>
                <w:sz w:val="20"/>
                <w:szCs w:val="20"/>
              </w:rPr>
              <w:t xml:space="preserve"> НПП «Мале Полісся», державний реєстраційний номер 0116U0011298; 2015-2019</w:t>
            </w:r>
          </w:p>
          <w:p w:rsidR="00A83CDF" w:rsidRDefault="00A83CDF" w:rsidP="00A83CDF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Ініціативної теми «</w:t>
            </w:r>
            <w:r w:rsidRPr="005D5001">
              <w:rPr>
                <w:rFonts w:ascii="Times New Roman" w:hAnsi="Times New Roman" w:cs="Times New Roman"/>
                <w:sz w:val="20"/>
                <w:szCs w:val="20"/>
              </w:rPr>
              <w:t>Структура флористичного різн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оманіття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Мошногірського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кряжу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», державний реєстраційний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01">
              <w:rPr>
                <w:rFonts w:ascii="Times New Roman" w:hAnsi="Times New Roman" w:cs="Times New Roman"/>
                <w:sz w:val="20"/>
                <w:szCs w:val="20"/>
              </w:rPr>
              <w:t>0119U101268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2018 - 2021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0314" w:rsidRDefault="00A83CDF" w:rsidP="00A83CDF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Виконавець теми «</w:t>
            </w:r>
            <w:r w:rsidRPr="00A83CDF">
              <w:rPr>
                <w:rFonts w:ascii="Times New Roman" w:hAnsi="Times New Roman" w:cs="Times New Roman"/>
                <w:sz w:val="20"/>
                <w:szCs w:val="20"/>
              </w:rPr>
              <w:t>Розробка заходів з рекультивації територій після порушення внаслідок незаконного видобутку бурштину лісових масивів Житомирського обласного управління лісово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та мисливського господарства»,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державний реєстраційний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0117 U002537; 2019</w:t>
            </w:r>
          </w:p>
          <w:p w:rsidR="00A83CDF" w:rsidRDefault="007200C8" w:rsidP="007200C8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Виконавець теми «</w:t>
            </w:r>
            <w:r w:rsidRPr="007200C8">
              <w:rPr>
                <w:rFonts w:ascii="Times New Roman" w:hAnsi="Times New Roman" w:cs="Times New Roman"/>
                <w:sz w:val="20"/>
                <w:szCs w:val="20"/>
              </w:rPr>
              <w:t xml:space="preserve">Розробити методичні основи та інформаційне забезпечення оцінювання </w:t>
            </w:r>
            <w:proofErr w:type="spellStart"/>
            <w:r w:rsidRPr="007200C8">
              <w:rPr>
                <w:rFonts w:ascii="Times New Roman" w:hAnsi="Times New Roman" w:cs="Times New Roman"/>
                <w:sz w:val="20"/>
                <w:szCs w:val="20"/>
              </w:rPr>
              <w:t>екосистемних</w:t>
            </w:r>
            <w:proofErr w:type="spellEnd"/>
            <w:r w:rsidRPr="007200C8">
              <w:rPr>
                <w:rFonts w:ascii="Times New Roman" w:hAnsi="Times New Roman" w:cs="Times New Roman"/>
                <w:sz w:val="20"/>
                <w:szCs w:val="20"/>
              </w:rPr>
              <w:t xml:space="preserve"> функцій лісів природно-за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повідного фонду Полісся України»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0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державний реєстраційний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0119U100908; 2020</w:t>
            </w:r>
          </w:p>
          <w:p w:rsidR="007200C8" w:rsidRPr="00AF38D7" w:rsidRDefault="007200C8" w:rsidP="007200C8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Виконавець теми </w:t>
            </w:r>
            <w:r w:rsidRPr="007200C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200C8">
              <w:rPr>
                <w:rFonts w:ascii="Times New Roman" w:hAnsi="Times New Roman" w:cs="Times New Roman"/>
                <w:bCs/>
                <w:sz w:val="20"/>
                <w:szCs w:val="20"/>
              </w:rPr>
              <w:t>Прикладні рішення комплексного використання деревних ресурсів для реалізації концептуальних засад низьковуглецевого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розвитку лісового господарства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0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державний реєстраційний номер</w:t>
            </w:r>
            <w:r w:rsidRPr="007200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0120U102137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2020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конференціях і семінарах</w:t>
            </w:r>
          </w:p>
        </w:tc>
        <w:tc>
          <w:tcPr>
            <w:tcW w:w="14106" w:type="dxa"/>
          </w:tcPr>
          <w:p w:rsidR="00EA0314" w:rsidRPr="00EA0314" w:rsidRDefault="00EA0314" w:rsidP="00A83CDF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ind w:left="434" w:firstLine="0"/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EA031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Екологічна оцінка флори </w:t>
            </w:r>
            <w:proofErr w:type="spellStart"/>
            <w:r w:rsidRPr="00EA031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Мошногірського</w:t>
            </w:r>
            <w:proofErr w:type="spellEnd"/>
            <w:r w:rsidRPr="00EA031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кряжу та прилеглих територій / Тези доповідей учасників Міжнародної науково-практичної конференції «Теперішнє та майбутнє лісів </w:t>
            </w:r>
            <w:proofErr w:type="spellStart"/>
            <w:r w:rsidRPr="00EA031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екотону</w:t>
            </w:r>
            <w:proofErr w:type="spellEnd"/>
            <w:r w:rsidRPr="00EA031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середніх широт» (1</w:t>
            </w:r>
            <w:r w:rsidR="000B2BA0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1 червня 2021 року. С. 137–139).</w:t>
            </w:r>
          </w:p>
          <w:p w:rsidR="000B7521" w:rsidRPr="00AF38D7" w:rsidRDefault="00EA0314" w:rsidP="00A83CDF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ind w:left="434" w:firstLine="0"/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EA031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Цінності довкілля у вимогах лісової сертифікації за схемою FSC / Тези доповідей учасників Міжнародної науково-практичної конференції «Теперішнє та майбутнє лісів </w:t>
            </w:r>
            <w:proofErr w:type="spellStart"/>
            <w:r w:rsidRPr="00EA031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екотону</w:t>
            </w:r>
            <w:proofErr w:type="spellEnd"/>
            <w:r w:rsidRPr="00EA031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середніх широт» (1</w:t>
            </w:r>
            <w:r w:rsidR="000B2BA0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1 червня 2021 року. С. 104–105)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Робота з аспірантами та докторантами </w:t>
            </w:r>
          </w:p>
        </w:tc>
        <w:tc>
          <w:tcPr>
            <w:tcW w:w="14106" w:type="dxa"/>
          </w:tcPr>
          <w:p w:rsidR="00AD269F" w:rsidRPr="00AF38D7" w:rsidRDefault="00CB37E2" w:rsidP="00A83CDF">
            <w:pPr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науковою роботою студентів </w:t>
            </w:r>
          </w:p>
        </w:tc>
        <w:tc>
          <w:tcPr>
            <w:tcW w:w="14106" w:type="dxa"/>
          </w:tcPr>
          <w:p w:rsidR="00EA0314" w:rsidRDefault="00EA0314" w:rsidP="00A83CDF">
            <w:pPr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Наукове керівництво роботою членів наукового гуртка з ботаніки «Дивовижна флора»:</w:t>
            </w:r>
          </w:p>
          <w:p w:rsidR="00EA0314" w:rsidRPr="00EA0314" w:rsidRDefault="00EA0314" w:rsidP="00A83CDF">
            <w:pPr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1. РАРИТЕТНІ ПРЕДСТАВНИКИ РОДИНИ ORCHIDACEAE JUSS. ЧЕРНІГІВСЬКОГО ПОЛІССЯ ТА ЇХ ОХОРОНА.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Красник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Т. В. 2 курс 205 Лісове господарство, ННІ лісового і садово-паркового господарства. 75-а Всеукраїнська студентська науково-практична конференція «Науковий пошук молоді для сталого розвитку лісового комплексу та садово-паркового господарств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а».</w:t>
            </w:r>
          </w:p>
          <w:p w:rsidR="00EA0314" w:rsidRDefault="00EA0314" w:rsidP="00A83CDF">
            <w:pPr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2. ЗАБЕЗПЕЧЕННЯ РАРИТЕТНИХ ПРЕДСТАВНИКІВ РОДИНИ ЖОВТЕЦЕВИХ (RANUNCULACEAE JUSS.) ТЕРИТОРІАЛЬНОЮ ОХОРОНОЮ У МЕЖАХ СУМСЬКОЇ ОБЛАСТІ. Певно О. О. 1 курс, 101 Екологія, Факультету захисту рослин, екології та біотехнології. 75-а Всеукраїнська студентська науково-практична конференція «Науковий пошук молоді для сталого розвитку лісового комплексу та садово-паркового господарства». </w:t>
            </w:r>
          </w:p>
          <w:p w:rsidR="00AD269F" w:rsidRDefault="00EA0314" w:rsidP="00A83CDF">
            <w:pPr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3. ПОШИРЕННЯ РАРИТЕТНИХ ПРЕДСТАВНИКІВ РОДИНИ FABACEAE JUSS. ОБ’ЄКТАМИ СМАРАГДОВОЇ МЕРЕЖІ ОДЕСЬКОЇ ОБЛАСТІ.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В. В. 1 курс 205 Лісове господарство, ННІ лісового і садово-паркового господарства. 75-а Всеукраїнська студентська науково-практична конференція «Науковий пошук молоді для сталого розвитку лісового комплексу 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садово-паркового господарства».</w:t>
            </w:r>
          </w:p>
          <w:p w:rsidR="00EA0314" w:rsidRPr="00AF38D7" w:rsidRDefault="00EA0314" w:rsidP="00A83CDF">
            <w:pPr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студентки Чижик Анастасії - ІІ місце  на міжнародній науковій конференції (12th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Agronomy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Kragujevac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Fasculty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Agronomy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Čačak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Serbia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) в м.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Чачак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(Сербія)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(наказ ректора  №1207 С від 05.08.2021)</w:t>
            </w:r>
          </w:p>
        </w:tc>
      </w:tr>
    </w:tbl>
    <w:p w:rsidR="000B7521" w:rsidRPr="00AF38D7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AF38D7">
        <w:rPr>
          <w:rFonts w:ascii="Times New Roman" w:hAnsi="Times New Roman" w:cs="Times New Roman"/>
          <w:sz w:val="20"/>
          <w:szCs w:val="20"/>
        </w:rPr>
        <w:t>Додаток 2</w:t>
      </w: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14" w:type="dxa"/>
        <w:tblLook w:val="04A0"/>
      </w:tblPr>
      <w:tblGrid>
        <w:gridCol w:w="458"/>
        <w:gridCol w:w="3631"/>
        <w:gridCol w:w="11525"/>
      </w:tblGrid>
      <w:tr w:rsidR="00AF38D7" w:rsidRPr="00AF38D7" w:rsidTr="004E2D31">
        <w:tc>
          <w:tcPr>
            <w:tcW w:w="15614" w:type="dxa"/>
            <w:gridSpan w:val="3"/>
          </w:tcPr>
          <w:p w:rsidR="00CB18CD" w:rsidRPr="00AF38D7" w:rsidRDefault="00CB18CD" w:rsidP="00A54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F38D7" w:rsidRPr="00AF38D7" w:rsidTr="00F339B1">
        <w:tc>
          <w:tcPr>
            <w:tcW w:w="458" w:type="dxa"/>
          </w:tcPr>
          <w:p w:rsidR="00CB18CD" w:rsidRPr="00AF38D7" w:rsidRDefault="00CB18CD" w:rsidP="00A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631" w:type="dxa"/>
          </w:tcPr>
          <w:p w:rsidR="00CB18CD" w:rsidRPr="00AF38D7" w:rsidRDefault="00CB18CD" w:rsidP="00A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525" w:type="dxa"/>
          </w:tcPr>
          <w:p w:rsidR="00CB18CD" w:rsidRPr="00AF38D7" w:rsidRDefault="00CB18CD" w:rsidP="00A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F339B1">
        <w:tc>
          <w:tcPr>
            <w:tcW w:w="458" w:type="dxa"/>
          </w:tcPr>
          <w:p w:rsidR="00CB18CD" w:rsidRPr="00AF38D7" w:rsidRDefault="00CB18CD" w:rsidP="00CB18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B18CD" w:rsidRPr="00AF38D7" w:rsidRDefault="00CB18CD" w:rsidP="00A5447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5-ть років наукових публікацій у періодичних виданнях, які включені до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наукометричних</w:t>
            </w:r>
            <w:proofErr w:type="spellEnd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баз,  рекомендованих МОН, зокрема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</w:p>
        </w:tc>
        <w:tc>
          <w:tcPr>
            <w:tcW w:w="11525" w:type="dxa"/>
          </w:tcPr>
          <w:p w:rsidR="00EA0314" w:rsidRPr="004A77DB" w:rsidRDefault="00EA0314" w:rsidP="00EA0314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Lesiv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, M.,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Schepaschenko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Buchhorn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2015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a 100 m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resolution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2022.</w:t>
            </w:r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9, 199. </w:t>
            </w:r>
            <w:hyperlink r:id="rId7" w:history="1">
              <w:r w:rsidRPr="004A77D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https://doi.org/10.1038/s41597-022-01332-3</w:t>
              </w:r>
            </w:hyperlink>
          </w:p>
          <w:p w:rsidR="00EA0314" w:rsidRPr="00DA62AD" w:rsidRDefault="00EA0314" w:rsidP="00EA0314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Likhanov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Oliinyk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Pashkevych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Churilov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Kozyr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Role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Flavonoids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Invasion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Strategy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Solidago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canadensis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L.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Plants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2021. </w:t>
            </w:r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10(8):174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 DOI: 10.3390/plants10081748.</w:t>
            </w:r>
          </w:p>
          <w:p w:rsidR="00CB18CD" w:rsidRPr="00AF38D7" w:rsidRDefault="00EA0314" w:rsidP="00EA0314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Andrii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Churilov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Igor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Goncharenko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Olha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Kravchenko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Serhii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Kovalevskyi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Yurii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Marchuk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Konstantin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Maevskyi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Serhii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Kovalevskyi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Olha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Marchuk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Maria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Shevchuk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Maria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Dubchak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Phytoindicative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anthropogenic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transformation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vegetation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disturbed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areas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illegal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amber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mining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Western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Polissya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Forestry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Ideas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Vol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26,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1. 2020. 191-208. </w:t>
            </w:r>
            <w:hyperlink r:id="rId8" w:history="1">
              <w:r w:rsidRPr="00A544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http://oaji.net/articles/2020/6191-1594755615.pdf</w:t>
              </w:r>
            </w:hyperlink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38D7" w:rsidRPr="00AF38D7" w:rsidTr="00F339B1">
        <w:tc>
          <w:tcPr>
            <w:tcW w:w="458" w:type="dxa"/>
          </w:tcPr>
          <w:p w:rsidR="000C53D1" w:rsidRPr="00AF38D7" w:rsidRDefault="000C53D1" w:rsidP="000C53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0C53D1" w:rsidRPr="00AF38D7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11525" w:type="dxa"/>
          </w:tcPr>
          <w:p w:rsidR="00EA0314" w:rsidRPr="004A77DB" w:rsidRDefault="00EA0314" w:rsidP="00EA0314">
            <w:pPr>
              <w:pStyle w:val="a3"/>
              <w:numPr>
                <w:ilvl w:val="0"/>
                <w:numId w:val="13"/>
              </w:numPr>
              <w:ind w:left="512" w:hanging="3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Lesiv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, M.,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Schepaschenko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Buchhorn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2015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a 100 m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resolution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2022.</w:t>
            </w:r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9, 199. </w:t>
            </w:r>
            <w:hyperlink r:id="rId9" w:history="1">
              <w:r w:rsidRPr="004A77D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https://doi.org/10.1038/s41597-022-01332-3</w:t>
              </w:r>
            </w:hyperlink>
          </w:p>
          <w:p w:rsidR="00EA0314" w:rsidRPr="004A77DB" w:rsidRDefault="00EA0314" w:rsidP="00EA0314">
            <w:pPr>
              <w:pStyle w:val="a3"/>
              <w:numPr>
                <w:ilvl w:val="0"/>
                <w:numId w:val="13"/>
              </w:numPr>
              <w:ind w:left="512" w:hanging="3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Ковалевський С. Б., Марчук Ю. М., Маєвський К. В., Ковалевський С. С.,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А. М.. Комплексний підхід до реабілітації лісових земель Житомирського Полісся, пошкоджених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епромисловим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видобутком бурштину / Зб. наук. праць. Науковий вісник НЛТУ. – Львів, 2021. – Вип. 31(4). – с. 43-48.</w:t>
            </w:r>
          </w:p>
          <w:p w:rsidR="00EA0314" w:rsidRPr="004A77DB" w:rsidRDefault="00EA0314" w:rsidP="00EA0314">
            <w:pPr>
              <w:pStyle w:val="a3"/>
              <w:numPr>
                <w:ilvl w:val="0"/>
                <w:numId w:val="13"/>
              </w:numPr>
              <w:ind w:left="512" w:hanging="3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Ковалевський С. Б., Марчук Ю. М., Маєвський К. В., Ковалевський С. С., </w:t>
            </w:r>
            <w:proofErr w:type="spellStart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4A77DB">
              <w:rPr>
                <w:rFonts w:ascii="Times New Roman" w:hAnsi="Times New Roman" w:cs="Times New Roman"/>
                <w:sz w:val="20"/>
                <w:szCs w:val="20"/>
              </w:rPr>
              <w:t xml:space="preserve"> А. М. Екологічні наслідки негативного впливу несанкціонованого видобутку бурштину на лісові ділянки Житомирщини / Науковий журнал UKRAINIAN JOURNAL OF FOREST AND WOOD SCIENCE. – Київ, 2021. – Том 12 № 1. – с. 57-68.</w:t>
            </w:r>
          </w:p>
          <w:p w:rsidR="00EA0314" w:rsidRPr="00DA62AD" w:rsidRDefault="00EA0314" w:rsidP="00EA0314">
            <w:pPr>
              <w:pStyle w:val="a3"/>
              <w:numPr>
                <w:ilvl w:val="0"/>
                <w:numId w:val="13"/>
              </w:numPr>
              <w:ind w:left="512" w:hanging="3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Likhanov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Oliinyk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Pashkevych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Churilov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Kozyr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Role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Flavonoids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Invasion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Strategy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Solidago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canadensis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L. </w:t>
            </w:r>
            <w:proofErr w:type="spellStart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Plants</w:t>
            </w:r>
            <w:proofErr w:type="spellEnd"/>
            <w:r w:rsidRPr="00DA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2021. </w:t>
            </w:r>
            <w:r w:rsidRPr="00DA62AD">
              <w:rPr>
                <w:rFonts w:ascii="Times New Roman" w:hAnsi="Times New Roman" w:cs="Times New Roman"/>
                <w:sz w:val="20"/>
                <w:szCs w:val="20"/>
              </w:rPr>
              <w:t>10(8):174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 DOI: 10.3390/plants10081748.</w:t>
            </w:r>
          </w:p>
          <w:p w:rsidR="00EA0314" w:rsidRPr="00A5447F" w:rsidRDefault="00EA0314" w:rsidP="00EA0314">
            <w:pPr>
              <w:pStyle w:val="a3"/>
              <w:numPr>
                <w:ilvl w:val="0"/>
                <w:numId w:val="13"/>
              </w:numPr>
              <w:ind w:left="512" w:hanging="3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Andrii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Churilov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Igor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Goncharenko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Olha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Kravchenko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Serhii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Kovalevskyi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Yurii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Marchuk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Konstantin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Maevskyi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Serhii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Kovalevskyi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Olha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Marchuk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Maria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Shevchuk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Maria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Dubchak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Phytoindicative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anthropogenic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transformation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vegetation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disturbed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areas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illegal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amber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mining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Western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Polissya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Ukraine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Forestry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Ideas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Vol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26,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1. 2020. 191-208. </w:t>
            </w:r>
            <w:hyperlink r:id="rId10" w:history="1">
              <w:r w:rsidRPr="00A544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http://oaji.net/articles/2020/6191-1594755615.pdf</w:t>
              </w:r>
            </w:hyperlink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53D1" w:rsidRPr="00AF38D7" w:rsidRDefault="00EA0314" w:rsidP="00EA0314">
            <w:pPr>
              <w:pStyle w:val="a3"/>
              <w:numPr>
                <w:ilvl w:val="0"/>
                <w:numId w:val="13"/>
              </w:numPr>
              <w:ind w:left="512" w:hanging="3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Якубенко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Б.Є.,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А.М. Біологічна структура відновлювального рослинного покриву луків  Лісостепу України //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Ukrainian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Vol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. 10. № 3, 2019. С. 7-14.</w:t>
            </w:r>
          </w:p>
        </w:tc>
      </w:tr>
      <w:tr w:rsidR="00AF38D7" w:rsidRPr="00AF38D7" w:rsidTr="00F339B1">
        <w:tc>
          <w:tcPr>
            <w:tcW w:w="458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525" w:type="dxa"/>
          </w:tcPr>
          <w:p w:rsidR="00D8357E" w:rsidRPr="00AF38D7" w:rsidRDefault="00D8357E" w:rsidP="00D8357E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D8357E" w:rsidRPr="004B424C" w:rsidRDefault="00D8357E" w:rsidP="00D8357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Ковалевський С. Б., Марчук Ю. М., Маєвський К. В., Курдюк О. М., Ковалевський С. С., Марчук О. О.,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А. М., Демченко О. О., Шевчук М. О., Дубчак М. Ю., Кроль А. В.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Дендрорекультивація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лісових земель Житомирщини, порушених унаслідок видобутку бурштину. Київ: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ФОП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Ямчинський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О., 2019. 330 с.</w:t>
            </w:r>
          </w:p>
          <w:p w:rsidR="00D8357E" w:rsidRPr="004B424C" w:rsidRDefault="00D8357E" w:rsidP="00D8357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А. М.,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Якубенко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Б. Є.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Синантропізаційний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аналіз флористичної структури за демутацій рослинного покриву луків у Лісостепу України / Флористичне і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ценотичне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різноманіття у відновленні, охороні та збереженні рослинного світу : монографія / Колектив авторів за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заг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. ред. С. М. Ніколаєнка. – К.: Видавництво Ліра-К, 2018. – 486 с. С. 83–95; 447–448.</w:t>
            </w:r>
          </w:p>
          <w:p w:rsidR="00D8357E" w:rsidRPr="004B424C" w:rsidRDefault="00D8357E" w:rsidP="00D8357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Белінська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М. М.,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Сасюк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А. В.,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Якубенко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Б. Є.,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А. М. Національний природний парк "Мале Полісся": шлях до створення, особливості природи та діяльність / Флористичне і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ценотичне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 різноманіття у відновленні, охороні та збереженні рослинного світу : монографія / Колектив авторів за </w:t>
            </w:r>
            <w:proofErr w:type="spellStart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заг</w:t>
            </w:r>
            <w:proofErr w:type="spellEnd"/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. ред. С. М. Ніколаєнка. – К.: Видавництво Ліра-К, 2018. – 486 с. С. 199–225; 458–459.</w:t>
            </w:r>
          </w:p>
          <w:p w:rsidR="00D8357E" w:rsidRPr="00AF38D7" w:rsidRDefault="00D8357E" w:rsidP="00D8357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Підручник</w:t>
            </w:r>
          </w:p>
          <w:p w:rsidR="00D8357E" w:rsidRPr="00AF38D7" w:rsidRDefault="00D8357E" w:rsidP="00D8357E">
            <w:pPr>
              <w:pStyle w:val="a9"/>
              <w:numPr>
                <w:ilvl w:val="0"/>
                <w:numId w:val="14"/>
              </w:numPr>
              <w:ind w:right="-28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Ґрунтознавство з основами геоботаніки. Підручник для студентів спеціальності «193 Геодезія та землеустрій» </w:t>
            </w:r>
            <w:proofErr w:type="spellStart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НУБіП</w:t>
            </w:r>
            <w:proofErr w:type="spellEnd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України // М.Ф. Бережняк, Б.Є. </w:t>
            </w:r>
            <w:proofErr w:type="spellStart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Якубенко</w:t>
            </w:r>
            <w:proofErr w:type="spellEnd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, О.В.</w:t>
            </w:r>
            <w:proofErr w:type="spellStart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Тонха</w:t>
            </w:r>
            <w:proofErr w:type="spellEnd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, А.М. </w:t>
            </w:r>
            <w:proofErr w:type="spellStart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Чурілов</w:t>
            </w:r>
            <w:proofErr w:type="spellEnd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, Р.В. </w:t>
            </w:r>
            <w:proofErr w:type="spellStart"/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Сендзю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, Є.М.Бережняк. Київ: Ліра-К, 2</w:t>
            </w:r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021. 634 с. (40,5 д.а.</w:t>
            </w:r>
            <w:r w:rsidRPr="00AF38D7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:rsidR="00D8357E" w:rsidRPr="00AF38D7" w:rsidRDefault="00D8357E" w:rsidP="00D8357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Посібники</w:t>
            </w:r>
          </w:p>
          <w:p w:rsidR="00D8357E" w:rsidRPr="00186C96" w:rsidRDefault="00D8357E" w:rsidP="00D835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Якубенко Б. Є., Попович С. Ю., Устименко П. М., Дубина Д. В.,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Чурілов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 М.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Геоботаніка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методичні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аспекти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досліджень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Навчальний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посібник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К.: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Ліра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-К, 2017. – 368 с. </w:t>
            </w:r>
          </w:p>
          <w:p w:rsidR="00D8357E" w:rsidRPr="00186C96" w:rsidRDefault="00D8357E" w:rsidP="00D835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Бережняк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М.Ф.,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Якубенко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Б.Є.,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Чурілов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А.М.,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Сендзюк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Р.В.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Ґрунтознавство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основами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геоботаніки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посібник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За ред. д-ра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біол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наук, проф. Б.Є. Якубенка– К.: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Ліра-К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2017. – 567 с. </w:t>
            </w:r>
          </w:p>
          <w:p w:rsidR="00D8357E" w:rsidRDefault="00D8357E" w:rsidP="00D835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Бережняк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М.Ф.,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Якубенко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Б.Є.,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Тонха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О.Л.,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Чурілов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А.М.,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Сендзюк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Р.В.,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Бережняк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Є.М.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Ґрунтознавство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основами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геоботаніки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посібник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перевидання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За ред. д-ра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біол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наук, проф.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Б.Є.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Якубенка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К.: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Ліра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-К, 2019. – 600 с.</w:t>
            </w:r>
          </w:p>
          <w:p w:rsidR="004E2D31" w:rsidRPr="00AF38D7" w:rsidRDefault="00D8357E" w:rsidP="00D835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Якубенко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Є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Попович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Устименко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Дубина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Чурілов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«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Геоботаніка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методичні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аспекти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досліджень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Навчальний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посібник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За ред. Б.Є.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Якубенка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перевидання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– К.: </w:t>
            </w:r>
            <w:proofErr w:type="spellStart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Ліра-К</w:t>
            </w:r>
            <w:proofErr w:type="spellEnd"/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2021. – 317 с. (20.5 д.а.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AF38D7" w:rsidRPr="00AF38D7" w:rsidTr="00F339B1">
        <w:tc>
          <w:tcPr>
            <w:tcW w:w="458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525" w:type="dxa"/>
          </w:tcPr>
          <w:p w:rsidR="004E2D31" w:rsidRPr="00AF38D7" w:rsidRDefault="00CB37E2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11525" w:type="dxa"/>
          </w:tcPr>
          <w:p w:rsidR="00F339B1" w:rsidRPr="00F339B1" w:rsidRDefault="00F339B1" w:rsidP="00F3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339B1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Міжнародному українсько-чеському </w:t>
            </w:r>
            <w:proofErr w:type="spellStart"/>
            <w:r w:rsidRPr="00F339B1">
              <w:rPr>
                <w:rFonts w:ascii="Times New Roman" w:hAnsi="Times New Roman" w:cs="Times New Roman"/>
                <w:sz w:val="20"/>
                <w:szCs w:val="20"/>
              </w:rPr>
              <w:t>проєкті</w:t>
            </w:r>
            <w:proofErr w:type="spellEnd"/>
            <w:r w:rsidRPr="00F339B1">
              <w:rPr>
                <w:rFonts w:ascii="Times New Roman" w:hAnsi="Times New Roman" w:cs="Times New Roman"/>
                <w:sz w:val="20"/>
                <w:szCs w:val="20"/>
              </w:rPr>
              <w:t xml:space="preserve"> «Просторово-часова динаміка </w:t>
            </w:r>
            <w:proofErr w:type="spellStart"/>
            <w:r w:rsidRPr="00F339B1">
              <w:rPr>
                <w:rFonts w:ascii="Times New Roman" w:hAnsi="Times New Roman" w:cs="Times New Roman"/>
                <w:sz w:val="20"/>
                <w:szCs w:val="20"/>
              </w:rPr>
              <w:t>гідроморфних</w:t>
            </w:r>
            <w:proofErr w:type="spellEnd"/>
            <w:r w:rsidRPr="00F339B1">
              <w:rPr>
                <w:rFonts w:ascii="Times New Roman" w:hAnsi="Times New Roman" w:cs="Times New Roman"/>
                <w:sz w:val="20"/>
                <w:szCs w:val="20"/>
              </w:rPr>
              <w:t xml:space="preserve"> ландшафтів при змінах клімату та вплив на локальні екосистеми регіону Канівського водосховища» (згідно з наказом Міністерства освіти і науки України від 20.03.2022 № 264 «Про затвердження плану заходів з реалізації міжнародних наукових та науково-технічних програм і </w:t>
            </w:r>
            <w:proofErr w:type="spellStart"/>
            <w:r w:rsidRPr="00F339B1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F339B1">
              <w:rPr>
                <w:rFonts w:ascii="Times New Roman" w:hAnsi="Times New Roman" w:cs="Times New Roman"/>
                <w:sz w:val="20"/>
                <w:szCs w:val="20"/>
              </w:rPr>
              <w:t xml:space="preserve"> за напрямом «Наука» на 2022 рік» та наказом Міністерства освіти і науки України від 07.04.2022 № 314 «Про фінансування спільних українсько-чеських науково-дослідних </w:t>
            </w:r>
            <w:proofErr w:type="spellStart"/>
            <w:r w:rsidRPr="00F339B1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F339B1">
              <w:rPr>
                <w:rFonts w:ascii="Times New Roman" w:hAnsi="Times New Roman" w:cs="Times New Roman"/>
                <w:sz w:val="20"/>
                <w:szCs w:val="20"/>
              </w:rPr>
              <w:t xml:space="preserve"> у 2022 році»)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Проведення навчальних занять з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исципліни «Ботаніка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» (“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otany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”) (60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39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год 201</w:t>
            </w:r>
            <w:r w:rsidRPr="00F339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-2021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11525" w:type="dxa"/>
          </w:tcPr>
          <w:p w:rsidR="00F339B1" w:rsidRPr="00AF38D7" w:rsidRDefault="005D5001" w:rsidP="005D500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науково-дослідної роботи «</w:t>
            </w:r>
            <w:r w:rsidRPr="005D5001">
              <w:rPr>
                <w:rFonts w:ascii="Times New Roman" w:hAnsi="Times New Roman" w:cs="Times New Roman"/>
                <w:sz w:val="20"/>
                <w:szCs w:val="20"/>
              </w:rPr>
              <w:t>Теоретичні основи відновлення і охорони лучної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рослинності Лісостепу України», 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>державний</w:t>
            </w:r>
            <w:r w:rsidR="00F339B1">
              <w:rPr>
                <w:rFonts w:ascii="Times New Roman" w:hAnsi="Times New Roman" w:cs="Times New Roman"/>
                <w:sz w:val="20"/>
                <w:szCs w:val="20"/>
              </w:rPr>
              <w:t xml:space="preserve"> реєстраційний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01">
              <w:rPr>
                <w:rFonts w:ascii="Times New Roman" w:hAnsi="Times New Roman" w:cs="Times New Roman"/>
                <w:sz w:val="20"/>
                <w:szCs w:val="20"/>
              </w:rPr>
              <w:t>0113U003849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2013-2017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39B1" w:rsidRPr="00F339B1" w:rsidRDefault="00F339B1" w:rsidP="005D500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Ініціативної теми «</w:t>
            </w:r>
            <w:r w:rsidR="005D5001" w:rsidRPr="005D5001">
              <w:rPr>
                <w:rFonts w:ascii="Times New Roman" w:hAnsi="Times New Roman" w:cs="Times New Roman"/>
                <w:sz w:val="20"/>
                <w:szCs w:val="20"/>
              </w:rPr>
              <w:t>Розробка заходів збереження та сталого використання лісової рослинності південної частини Київського Правобережного П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>олісся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», державний реєстраційний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001" w:rsidRPr="005D5001">
              <w:rPr>
                <w:rFonts w:ascii="Times New Roman" w:hAnsi="Times New Roman" w:cs="Times New Roman"/>
                <w:sz w:val="20"/>
                <w:szCs w:val="20"/>
              </w:rPr>
              <w:t>0112U002881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>; 2012 - 2023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5001" w:rsidRPr="005D5001" w:rsidRDefault="005D5001" w:rsidP="005D500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Ініціативної теми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D5001"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 xml:space="preserve">Флористичне і </w:t>
            </w:r>
            <w:proofErr w:type="spellStart"/>
            <w:r w:rsidRPr="005D5001"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>ценотичне</w:t>
            </w:r>
            <w:proofErr w:type="spellEnd"/>
            <w:r w:rsidRPr="005D5001"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D5001"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>фіторізноманіття</w:t>
            </w:r>
            <w:proofErr w:type="spellEnd"/>
            <w:r w:rsidRPr="005D5001"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 xml:space="preserve"> НПП «Мале Полісся</w:t>
            </w:r>
            <w:r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 xml:space="preserve">», державний реєстраційний номер </w:t>
            </w:r>
            <w:r w:rsidRPr="005D5001"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>0116U0011298</w:t>
            </w:r>
            <w:r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>; 2015-2019</w:t>
            </w:r>
          </w:p>
          <w:p w:rsidR="00F339B1" w:rsidRPr="00F339B1" w:rsidRDefault="00F339B1" w:rsidP="005D500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Відповідальний виконавець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Ініціативної теми «</w:t>
            </w:r>
            <w:r w:rsidR="005D5001" w:rsidRPr="005D5001">
              <w:rPr>
                <w:rFonts w:ascii="Times New Roman" w:hAnsi="Times New Roman" w:cs="Times New Roman"/>
                <w:sz w:val="20"/>
                <w:szCs w:val="20"/>
              </w:rPr>
              <w:t>Структура флористичного різн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 xml:space="preserve">оманіття </w:t>
            </w:r>
            <w:proofErr w:type="spellStart"/>
            <w:r w:rsidR="005D5001">
              <w:rPr>
                <w:rFonts w:ascii="Times New Roman" w:hAnsi="Times New Roman" w:cs="Times New Roman"/>
                <w:sz w:val="20"/>
                <w:szCs w:val="20"/>
              </w:rPr>
              <w:t>Мошногірського</w:t>
            </w:r>
            <w:proofErr w:type="spellEnd"/>
            <w:r w:rsidR="005D5001">
              <w:rPr>
                <w:rFonts w:ascii="Times New Roman" w:hAnsi="Times New Roman" w:cs="Times New Roman"/>
                <w:sz w:val="20"/>
                <w:szCs w:val="20"/>
              </w:rPr>
              <w:t xml:space="preserve"> кряжу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», державний реєстраційний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001" w:rsidRPr="005D5001">
              <w:rPr>
                <w:rFonts w:ascii="Times New Roman" w:hAnsi="Times New Roman" w:cs="Times New Roman"/>
                <w:sz w:val="20"/>
                <w:szCs w:val="20"/>
              </w:rPr>
              <w:t>0119U101268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>; 2018 - 2021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39B1" w:rsidRPr="00AF38D7" w:rsidRDefault="00F339B1" w:rsidP="00F339B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Член редакційної колегії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фахового журналу «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Ukrainian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forest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  <w:proofErr w:type="spellEnd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» (20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11525" w:type="dxa"/>
          </w:tcPr>
          <w:p w:rsidR="00032972" w:rsidRPr="00032972" w:rsidRDefault="00032972" w:rsidP="00032972">
            <w:pPr>
              <w:numPr>
                <w:ilvl w:val="0"/>
                <w:numId w:val="17"/>
              </w:numPr>
              <w:tabs>
                <w:tab w:val="left" w:pos="584"/>
              </w:tabs>
              <w:ind w:left="30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Особливості проведення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дендрорекультивування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територій, порушених внаслідок несанкціонованого видобутку бурштину в умовах Житомирського Полісся. Ковалевський С.Б., Марчук Ю.М., Маєвський К.В., Курдюк О.М., Марчук О.О., Ковалевський С.С.,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 А.М., Шевчук М.О., Дубчак М.Ю., Демченко О.О., Кроль А.В. К.: ТОВ «ПРІНТЕКО», 2019. 37 с.</w:t>
            </w:r>
          </w:p>
          <w:p w:rsidR="00032972" w:rsidRPr="00032972" w:rsidRDefault="00032972" w:rsidP="00032972">
            <w:pPr>
              <w:numPr>
                <w:ilvl w:val="0"/>
                <w:numId w:val="17"/>
              </w:numPr>
              <w:tabs>
                <w:tab w:val="left" w:pos="584"/>
              </w:tabs>
              <w:ind w:left="30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Рекомендації щодо загального залуження та відновлення лучної рослинності в Лісостепу України.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Якубенко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 Б.Є,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 А.М.,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Меженський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 В.М.,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Меженська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 Л.О.,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Тертишний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 А.П., Серга О.І., Меженний В.О. К.: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Фітосоціоцентр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, 2017. 45 с.</w:t>
            </w:r>
          </w:p>
          <w:p w:rsidR="00F339B1" w:rsidRDefault="00032972" w:rsidP="00032972">
            <w:pPr>
              <w:numPr>
                <w:ilvl w:val="0"/>
                <w:numId w:val="17"/>
              </w:numPr>
              <w:tabs>
                <w:tab w:val="left" w:pos="584"/>
              </w:tabs>
              <w:ind w:left="30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рекомендації з виділення, моніторингу та охорони особливо цінних для збереження лісів.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Карпук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 А.І.,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Морозюк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 О.В., Токарева О.В., Тищенко В.М., Кременецька Є.О. </w:t>
            </w:r>
            <w:proofErr w:type="spellStart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 w:rsidRPr="00032972">
              <w:rPr>
                <w:rFonts w:ascii="Times New Roman" w:hAnsi="Times New Roman" w:cs="Times New Roman"/>
                <w:sz w:val="20"/>
                <w:szCs w:val="20"/>
              </w:rPr>
              <w:t xml:space="preserve"> А.М., Шевчук О.В. Київ: «ЦП “КОМПРИНТ”, 2015 43 с.</w:t>
            </w:r>
          </w:p>
          <w:p w:rsidR="00032972" w:rsidRPr="00AF38D7" w:rsidRDefault="00032972" w:rsidP="00032972">
            <w:pPr>
              <w:numPr>
                <w:ilvl w:val="0"/>
                <w:numId w:val="17"/>
              </w:numPr>
              <w:tabs>
                <w:tab w:val="left" w:pos="584"/>
              </w:tabs>
              <w:ind w:left="30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Чурілов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 Особливості вивчення рослинного покриву лісів. 2019. Київ: Видавничий центр НУБіП, 205 с.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студентом, який зайняв призове місце на І етапі Всеукраїнської студентської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525" w:type="dxa"/>
          </w:tcPr>
          <w:p w:rsidR="00F339B1" w:rsidRPr="00AF38D7" w:rsidRDefault="00F339B1" w:rsidP="00032972">
            <w:pPr>
              <w:ind w:left="3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Керівництво студентом, який зайняв призове (І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) місце на </w:t>
            </w:r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міжнародній науковій конференції (12th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Agronomy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Kragujevac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Fasculty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Agronomy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Čačak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Serbia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) в м. </w:t>
            </w:r>
            <w:proofErr w:type="spellStart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Чачак</w:t>
            </w:r>
            <w:proofErr w:type="spellEnd"/>
            <w:r w:rsidRPr="00EA0314">
              <w:rPr>
                <w:rFonts w:ascii="Times New Roman" w:hAnsi="Times New Roman" w:cs="Times New Roman"/>
                <w:sz w:val="20"/>
                <w:szCs w:val="20"/>
              </w:rPr>
              <w:t xml:space="preserve"> (Сербія)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314">
              <w:rPr>
                <w:rFonts w:ascii="Times New Roman" w:hAnsi="Times New Roman" w:cs="Times New Roman"/>
                <w:sz w:val="20"/>
                <w:szCs w:val="20"/>
              </w:rPr>
              <w:t>(наказ ректора  №1207 С від 05.08.2021)</w:t>
            </w:r>
          </w:p>
          <w:p w:rsidR="00F339B1" w:rsidRPr="00AF38D7" w:rsidRDefault="00F339B1" w:rsidP="00032972">
            <w:p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9B1" w:rsidRPr="00AF38D7" w:rsidRDefault="00F339B1" w:rsidP="00032972">
            <w:pPr>
              <w:ind w:left="3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Керівництво постійно діючим студентським науковим гуртком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Дивовижна флора»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2010-2022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Член Українського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ботанічного товариства, Товариства лісівників України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Не враховуючи роки проведені в аспірантурі та докторант</w:t>
            </w:r>
            <w:r w:rsidR="008272EF">
              <w:rPr>
                <w:rFonts w:ascii="Times New Roman" w:hAnsi="Times New Roman" w:cs="Times New Roman"/>
                <w:sz w:val="20"/>
                <w:szCs w:val="20"/>
              </w:rPr>
              <w:t>урі, досвід наукової роботи - 5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років та </w:t>
            </w:r>
            <w:r w:rsidR="008272EF">
              <w:rPr>
                <w:rFonts w:ascii="Times New Roman" w:hAnsi="Times New Roman" w:cs="Times New Roman"/>
                <w:sz w:val="20"/>
                <w:szCs w:val="20"/>
              </w:rPr>
              <w:t>науково-педагогічної роботи - 12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років, разом – </w:t>
            </w:r>
            <w:r w:rsidR="008272E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17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років (науково-педагогічний стаж)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підприємств, організацій протягом не мене двох років 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AD155B" w:rsidRPr="00AF38D7" w:rsidRDefault="00AD155B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F38D7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2E39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D7003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20487"/>
    <w:multiLevelType w:val="hybridMultilevel"/>
    <w:tmpl w:val="EA8A73BC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E16C8"/>
    <w:multiLevelType w:val="hybridMultilevel"/>
    <w:tmpl w:val="EA8A73BC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8"/>
  </w:num>
  <w:num w:numId="13">
    <w:abstractNumId w:val="5"/>
  </w:num>
  <w:num w:numId="14">
    <w:abstractNumId w:val="16"/>
  </w:num>
  <w:num w:numId="15">
    <w:abstractNumId w:val="17"/>
  </w:num>
  <w:num w:numId="16">
    <w:abstractNumId w:val="11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8CD"/>
    <w:rsid w:val="00032972"/>
    <w:rsid w:val="00046B7D"/>
    <w:rsid w:val="000B2BA0"/>
    <w:rsid w:val="000B7521"/>
    <w:rsid w:val="000C53D1"/>
    <w:rsid w:val="000E5C09"/>
    <w:rsid w:val="00101261"/>
    <w:rsid w:val="00167D90"/>
    <w:rsid w:val="0017290E"/>
    <w:rsid w:val="00186C96"/>
    <w:rsid w:val="002126DD"/>
    <w:rsid w:val="00253050"/>
    <w:rsid w:val="00404879"/>
    <w:rsid w:val="004843A7"/>
    <w:rsid w:val="004A77DB"/>
    <w:rsid w:val="004B424C"/>
    <w:rsid w:val="004D086C"/>
    <w:rsid w:val="004E2D31"/>
    <w:rsid w:val="004F02DF"/>
    <w:rsid w:val="00543663"/>
    <w:rsid w:val="005A1F15"/>
    <w:rsid w:val="005A4199"/>
    <w:rsid w:val="005D5001"/>
    <w:rsid w:val="005D7413"/>
    <w:rsid w:val="0066636D"/>
    <w:rsid w:val="00683081"/>
    <w:rsid w:val="006B090D"/>
    <w:rsid w:val="007200C8"/>
    <w:rsid w:val="007B107A"/>
    <w:rsid w:val="008272EF"/>
    <w:rsid w:val="00963CF1"/>
    <w:rsid w:val="009767A7"/>
    <w:rsid w:val="00A5447F"/>
    <w:rsid w:val="00A83CDF"/>
    <w:rsid w:val="00AB5D56"/>
    <w:rsid w:val="00AD155B"/>
    <w:rsid w:val="00AD269F"/>
    <w:rsid w:val="00AF38D7"/>
    <w:rsid w:val="00BC742A"/>
    <w:rsid w:val="00BF7552"/>
    <w:rsid w:val="00C76083"/>
    <w:rsid w:val="00C97526"/>
    <w:rsid w:val="00CB18CD"/>
    <w:rsid w:val="00CB37E2"/>
    <w:rsid w:val="00CF6D13"/>
    <w:rsid w:val="00D8357E"/>
    <w:rsid w:val="00DA62AD"/>
    <w:rsid w:val="00DD3CC0"/>
    <w:rsid w:val="00DE5184"/>
    <w:rsid w:val="00E220F2"/>
    <w:rsid w:val="00E60C76"/>
    <w:rsid w:val="00EA0314"/>
    <w:rsid w:val="00F3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B18CD"/>
    <w:pPr>
      <w:ind w:left="720"/>
      <w:contextualSpacing/>
    </w:pPr>
  </w:style>
  <w:style w:type="table" w:styleId="a4">
    <w:name w:val="Table Grid"/>
    <w:basedOn w:val="a1"/>
    <w:uiPriority w:val="59"/>
    <w:rsid w:val="00CB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18CD"/>
    <w:rPr>
      <w:color w:val="0000FF"/>
      <w:u w:val="single"/>
    </w:rPr>
  </w:style>
  <w:style w:type="paragraph" w:styleId="a6">
    <w:name w:val="Plain Text"/>
    <w:basedOn w:val="a"/>
    <w:link w:val="a7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8">
    <w:name w:val="Emphasis"/>
    <w:uiPriority w:val="20"/>
    <w:qFormat/>
    <w:rsid w:val="007B107A"/>
    <w:rPr>
      <w:i/>
      <w:iCs/>
    </w:rPr>
  </w:style>
  <w:style w:type="paragraph" w:styleId="a9">
    <w:name w:val="No Spacing"/>
    <w:link w:val="aa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rsid w:val="004843A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ji.net/articles/2020/6191-15947556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8/s41597-022-01332-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aji.net/articles/2020/6191-1594755615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38/s41597-022-01332-3" TargetMode="External"/><Relationship Id="rId10" Type="http://schemas.openxmlformats.org/officeDocument/2006/relationships/hyperlink" Target="http://oaji.net/articles/2020/6191-15947556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597-022-01332-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3017</Words>
  <Characters>17202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Serj</cp:lastModifiedBy>
  <cp:revision>2</cp:revision>
  <dcterms:created xsi:type="dcterms:W3CDTF">2022-10-15T11:33:00Z</dcterms:created>
  <dcterms:modified xsi:type="dcterms:W3CDTF">2022-10-15T11:33:00Z</dcterms:modified>
</cp:coreProperties>
</file>