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2FD0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</w:pPr>
      <w:r w:rsidRPr="009D300B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АДАПТИВНІ СИСТЕМИ МАШИНОВИКОРИСТАННЯ У РОСЛИННИЦТВІ</w:t>
      </w:r>
    </w:p>
    <w:p w14:paraId="639324EA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EFC03A5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Кафедра технічного сервісу та інженерного менеджменту імені М. П. Момотенка</w:t>
      </w:r>
    </w:p>
    <w:p w14:paraId="4524943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27575342" w14:textId="77777777" w:rsidR="007278FB" w:rsidRPr="009D300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 xml:space="preserve">Факультет </w:t>
      </w:r>
      <w:r w:rsidR="007278FB" w:rsidRPr="009D300B">
        <w:rPr>
          <w:rFonts w:eastAsia="Calibri" w:cs="Times New Roman"/>
          <w:b/>
          <w:sz w:val="24"/>
          <w:szCs w:val="24"/>
        </w:rPr>
        <w:t>механіко-технологічний</w:t>
      </w:r>
    </w:p>
    <w:p w14:paraId="5C21CAD0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278FB" w:rsidRPr="009D300B" w14:paraId="096C4553" w14:textId="77777777" w:rsidTr="007278FB">
        <w:tc>
          <w:tcPr>
            <w:tcW w:w="3686" w:type="dxa"/>
            <w:vAlign w:val="center"/>
            <w:hideMark/>
          </w:tcPr>
          <w:p w14:paraId="176E847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05DCF9EA" w14:textId="4C220C94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Войтюк Валерій Дмитрович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ех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н., професор</w:t>
            </w:r>
          </w:p>
        </w:tc>
      </w:tr>
      <w:tr w:rsidR="007278FB" w:rsidRPr="009D300B" w14:paraId="4C80BB0F" w14:textId="77777777" w:rsidTr="007278FB">
        <w:tc>
          <w:tcPr>
            <w:tcW w:w="3686" w:type="dxa"/>
            <w:vAlign w:val="center"/>
            <w:hideMark/>
          </w:tcPr>
          <w:p w14:paraId="19AC474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013795F6" w14:textId="77777777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78FB" w:rsidRPr="009D300B" w14:paraId="2C0BC9FA" w14:textId="77777777" w:rsidTr="007278FB">
        <w:tc>
          <w:tcPr>
            <w:tcW w:w="3686" w:type="dxa"/>
            <w:vAlign w:val="center"/>
            <w:hideMark/>
          </w:tcPr>
          <w:p w14:paraId="01950D3D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4E29937C" w14:textId="77777777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278FB" w:rsidRPr="009D300B" w14:paraId="3B4A3A11" w14:textId="77777777" w:rsidTr="007278FB">
        <w:tc>
          <w:tcPr>
            <w:tcW w:w="3686" w:type="dxa"/>
            <w:vAlign w:val="center"/>
            <w:hideMark/>
          </w:tcPr>
          <w:p w14:paraId="5B50372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2F611AB4" w14:textId="77777777" w:rsidR="007278FB" w:rsidRPr="009D300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78FB" w:rsidRPr="009D300B" w14:paraId="6CECFF8A" w14:textId="77777777" w:rsidTr="007278FB">
        <w:tc>
          <w:tcPr>
            <w:tcW w:w="3686" w:type="dxa"/>
            <w:vAlign w:val="center"/>
            <w:hideMark/>
          </w:tcPr>
          <w:p w14:paraId="29A26D60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574AD57D" w14:textId="77777777" w:rsidR="007278FB" w:rsidRPr="009D300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278FB" w:rsidRPr="009D300B" w14:paraId="26ECA3BD" w14:textId="77777777" w:rsidTr="007278FB">
        <w:tc>
          <w:tcPr>
            <w:tcW w:w="3686" w:type="dxa"/>
            <w:vAlign w:val="center"/>
            <w:hideMark/>
          </w:tcPr>
          <w:p w14:paraId="5B1436E2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318A6FB8" w14:textId="4534AC34" w:rsidR="007278FB" w:rsidRPr="009D300B" w:rsidRDefault="007278FB" w:rsidP="00A019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F523E7C" w14:textId="77777777" w:rsid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7133F70E" w14:textId="77777777" w:rsidR="009D300B" w:rsidRPr="009D300B" w:rsidRDefault="009D300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7199D662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14:paraId="35C26902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>Розробка фундаментальних, фундаментально-прикладних і прикладних проблем, а також сучасних і перспективних технологій землеробства та рослинництва потребують врахування агроекологічних основ. Адаптивне землеробство та адаптивне рослинництво теоретично визначаються дуже широко. Їхню адаптивність можна відносити до окремих об'єктів або різних їх сукупностей у ланках або ланцюгах: рослина – грунт – рослинний покрив – агроекосистема – агроурочище – ділянка ландшафту – біосфера. В багатоцільовому екологічному обґрунтуванні сучасного та майбутнього рослинництва та землеробства розвивається уявлення про їхню адаптивність. Розуміння адаптаціогенезу в еколого-генетичному й еволюційному аспектах у даний час доповнено кібернетичними концепціями адаптивності не тільки у відношенні організмів, але й будь-яких біосистем.</w:t>
      </w:r>
    </w:p>
    <w:p w14:paraId="7E4351DB" w14:textId="77777777" w:rsidR="007278FB" w:rsidRPr="009D300B" w:rsidRDefault="009D300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Адаптація пояснюється як: </w:t>
      </w:r>
      <w:r w:rsidR="007278FB" w:rsidRPr="009D300B">
        <w:rPr>
          <w:rFonts w:eastAsia="Calibri" w:cs="Times New Roman"/>
          <w:sz w:val="24"/>
          <w:szCs w:val="24"/>
        </w:rPr>
        <w:t>ознака, властивість, якість, стан, явище, або процес які відбивають закономірності збереження та розвитку будь-яких систем на фоні взаємодії внутрішніх і зовнішніх факторів їхнь</w:t>
      </w:r>
      <w:r>
        <w:rPr>
          <w:rFonts w:eastAsia="Calibri" w:cs="Times New Roman"/>
          <w:sz w:val="24"/>
          <w:szCs w:val="24"/>
        </w:rPr>
        <w:t xml:space="preserve">ого існування; </w:t>
      </w:r>
      <w:r w:rsidR="007278FB" w:rsidRPr="009D300B">
        <w:rPr>
          <w:rFonts w:eastAsia="Calibri" w:cs="Times New Roman"/>
          <w:sz w:val="24"/>
          <w:szCs w:val="24"/>
        </w:rPr>
        <w:t>цілісна система реакцій організмів, популяцій, видів, екологічних систем, яка визначає динамічну рівновагу в тих або інших умовах середовища, тобто гомеостаз, або збереження загального напрямку процесів і еволюцій за зміни середовища – гом</w:t>
      </w:r>
      <w:r>
        <w:rPr>
          <w:rFonts w:eastAsia="Calibri" w:cs="Times New Roman"/>
          <w:sz w:val="24"/>
          <w:szCs w:val="24"/>
        </w:rPr>
        <w:t xml:space="preserve">еорез; </w:t>
      </w:r>
      <w:r w:rsidR="007278FB" w:rsidRPr="009D300B">
        <w:rPr>
          <w:rFonts w:eastAsia="Calibri" w:cs="Times New Roman"/>
          <w:sz w:val="24"/>
          <w:szCs w:val="24"/>
        </w:rPr>
        <w:t>процес цілеспрямованої само зміни системи, що дозволяє досягти їй кращого або, принаймі, прийнятного функціонування за таких умов середовища, що змінюються.</w:t>
      </w:r>
    </w:p>
    <w:p w14:paraId="77A8407B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В основі всіх адаптаційних можливостей рослин лежить загальний біологічний закон </w:t>
      </w:r>
      <w:r w:rsidRPr="009D300B">
        <w:rPr>
          <w:rFonts w:eastAsia="Calibri" w:cs="Times New Roman"/>
          <w:sz w:val="24"/>
          <w:szCs w:val="24"/>
        </w:rPr>
        <w:noBreakHyphen/>
        <w:t xml:space="preserve"> кожен живий організм повинен залишити після себе (за будь-яких умов) життєздатне потомство.</w:t>
      </w:r>
    </w:p>
    <w:p w14:paraId="0CBEADB1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Знання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організаційні форми використання машинної техніки в рослинництві; тягово-експлуатаційні розрахунки, необхідні для раціонального комплектування машинно-тракторни</w:t>
      </w:r>
      <w:r w:rsidR="009D300B">
        <w:rPr>
          <w:rFonts w:eastAsia="Calibri" w:cs="Times New Roman"/>
          <w:sz w:val="24"/>
          <w:szCs w:val="24"/>
        </w:rPr>
        <w:t xml:space="preserve">х агрегатів; </w:t>
      </w:r>
      <w:r w:rsidRPr="009D300B">
        <w:rPr>
          <w:rFonts w:eastAsia="Calibri" w:cs="Times New Roman"/>
          <w:sz w:val="24"/>
          <w:szCs w:val="24"/>
        </w:rPr>
        <w:t>технологію механізованих робіт з обов’язковим дотриманням вимог по еколо</w:t>
      </w:r>
      <w:r w:rsidR="009D300B">
        <w:rPr>
          <w:rFonts w:eastAsia="Calibri" w:cs="Times New Roman"/>
          <w:sz w:val="24"/>
          <w:szCs w:val="24"/>
        </w:rPr>
        <w:t xml:space="preserve">гії навколишнього середовища; </w:t>
      </w:r>
      <w:r w:rsidRPr="009D300B">
        <w:rPr>
          <w:rFonts w:eastAsia="Calibri" w:cs="Times New Roman"/>
          <w:sz w:val="24"/>
          <w:szCs w:val="24"/>
        </w:rPr>
        <w:t>основи технічної експлуатації машинно-тракторного парку.</w:t>
      </w:r>
    </w:p>
    <w:p w14:paraId="0A1A0E49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Вміння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вибрати машину чи знаряддя для виконання відповідної технологічної операції у відповідно</w:t>
      </w:r>
      <w:r w:rsidR="009D300B">
        <w:rPr>
          <w:rFonts w:eastAsia="Calibri" w:cs="Times New Roman"/>
          <w:sz w:val="24"/>
          <w:szCs w:val="24"/>
        </w:rPr>
        <w:t>сті з агротехнічними вимогами;</w:t>
      </w:r>
      <w:r w:rsidRPr="009D300B">
        <w:rPr>
          <w:rFonts w:eastAsia="Calibri" w:cs="Times New Roman"/>
          <w:sz w:val="24"/>
          <w:szCs w:val="24"/>
        </w:rPr>
        <w:t xml:space="preserve"> раціонально комплектувати машинно-тракторний парк, досягаючи найвищої його продуктивності пр</w:t>
      </w:r>
      <w:r w:rsidR="009D300B">
        <w:rPr>
          <w:rFonts w:eastAsia="Calibri" w:cs="Times New Roman"/>
          <w:sz w:val="24"/>
          <w:szCs w:val="24"/>
        </w:rPr>
        <w:t xml:space="preserve">и високій якості результатів; </w:t>
      </w:r>
      <w:r w:rsidRPr="009D300B">
        <w:rPr>
          <w:rFonts w:eastAsia="Calibri" w:cs="Times New Roman"/>
          <w:sz w:val="24"/>
          <w:szCs w:val="24"/>
        </w:rPr>
        <w:t>складати розрахунково-технологічні карти на виконання механізованих</w:t>
      </w:r>
      <w:r w:rsidR="009D300B">
        <w:rPr>
          <w:rFonts w:eastAsia="Calibri" w:cs="Times New Roman"/>
          <w:sz w:val="24"/>
          <w:szCs w:val="24"/>
        </w:rPr>
        <w:t xml:space="preserve"> сільськогосподарських робіт; </w:t>
      </w:r>
      <w:r w:rsidRPr="009D300B">
        <w:rPr>
          <w:rFonts w:eastAsia="Calibri" w:cs="Times New Roman"/>
          <w:sz w:val="24"/>
          <w:szCs w:val="24"/>
        </w:rPr>
        <w:t>розраховувати кількість пального і мастильних матеріалів для конкретного машинно-тракторного агрегату та їх загальну потребу для виконання виробничої програми по</w:t>
      </w:r>
      <w:r w:rsidR="009D300B">
        <w:rPr>
          <w:rFonts w:eastAsia="Calibri" w:cs="Times New Roman"/>
          <w:sz w:val="24"/>
          <w:szCs w:val="24"/>
        </w:rPr>
        <w:t xml:space="preserve"> господарству;</w:t>
      </w:r>
      <w:r w:rsidRPr="009D300B">
        <w:rPr>
          <w:rFonts w:eastAsia="Calibri" w:cs="Times New Roman"/>
          <w:sz w:val="24"/>
          <w:szCs w:val="24"/>
        </w:rPr>
        <w:t xml:space="preserve"> формулювати правила техніки безп</w:t>
      </w:r>
      <w:r w:rsidR="009D300B">
        <w:rPr>
          <w:rFonts w:eastAsia="Calibri" w:cs="Times New Roman"/>
          <w:sz w:val="24"/>
          <w:szCs w:val="24"/>
        </w:rPr>
        <w:t xml:space="preserve">еки та промислової санітарії; </w:t>
      </w:r>
      <w:r w:rsidRPr="009D300B">
        <w:rPr>
          <w:rFonts w:eastAsia="Calibri" w:cs="Times New Roman"/>
          <w:sz w:val="24"/>
          <w:szCs w:val="24"/>
        </w:rPr>
        <w:t>користуватись нормативними та довідковими матеріалами з питань машинновикористання.</w:t>
      </w:r>
    </w:p>
    <w:p w14:paraId="24A2B5B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112264AF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6F7D4551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33D93A06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lastRenderedPageBreak/>
        <w:t>Теми лекцій:</w:t>
      </w:r>
    </w:p>
    <w:p w14:paraId="2F93CCED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Поняття про адаптацію рослин. Адаптивна стратегія рослинництва. Формування адаптивної структури посіву.</w:t>
      </w:r>
    </w:p>
    <w:p w14:paraId="54296448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Експлуатаційні характеристики тракторів. </w:t>
      </w:r>
    </w:p>
    <w:p w14:paraId="52F9033C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Експлуатаційно-технологічні характеристики сільськогосподарських машин, які використовуються у рослинництві. </w:t>
      </w:r>
    </w:p>
    <w:p w14:paraId="35FDEFE9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r w:rsidR="007278FB" w:rsidRPr="009D300B">
        <w:rPr>
          <w:rFonts w:eastAsia="Calibri" w:cs="Times New Roman"/>
          <w:sz w:val="24"/>
          <w:szCs w:val="24"/>
        </w:rPr>
        <w:t>Експлуатаційна характеристика транспортних засобів.</w:t>
      </w:r>
    </w:p>
    <w:p w14:paraId="69E992B0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Організація роботи машинно-тракторних агрегатів в рослинництві. </w:t>
      </w:r>
    </w:p>
    <w:p w14:paraId="40AD49FF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>Розрахунок експлуатаційних показників машинно- тракторного парку і планування його роботи.</w:t>
      </w:r>
    </w:p>
    <w:p w14:paraId="52FC903B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Особливості догляду за сільськогосподарськими культурами,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14:paraId="3E36040C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Особливості сівби і садіння в насінництві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14:paraId="39460751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4E9388C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Теми занять:</w:t>
      </w:r>
    </w:p>
    <w:p w14:paraId="0CF38979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75EDA37F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Загальна характеристика тракторів. Рушійна сила трактора. Сила тяги трактора.</w:t>
      </w:r>
    </w:p>
    <w:p w14:paraId="38A63659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Технологічна здатність машини. Якість роботи машини. Тяговий опір сільськогосподарських машин. </w:t>
      </w:r>
    </w:p>
    <w:p w14:paraId="5B7FCDDF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Ширина захвату. Швидкість руху. Універсальність машини. </w:t>
      </w:r>
    </w:p>
    <w:p w14:paraId="5109C02C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r w:rsidR="007278FB" w:rsidRPr="009D300B">
        <w:rPr>
          <w:rFonts w:eastAsia="Calibri" w:cs="Times New Roman"/>
          <w:sz w:val="24"/>
          <w:szCs w:val="24"/>
        </w:rPr>
        <w:t xml:space="preserve">Комбінованість машин та агрегатів. Запас ходу машини. </w:t>
      </w:r>
    </w:p>
    <w:p w14:paraId="7E1E41DB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Прохідність і маневреність МТА. Зручність технологічного обслуговування. </w:t>
      </w:r>
    </w:p>
    <w:p w14:paraId="69D161A5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>Специфіка навантажувально-транспортних робіт. Характеристика транспортних засобів.</w:t>
      </w:r>
    </w:p>
    <w:p w14:paraId="209BF725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Експлуатаційні властивості транспортних засобів.</w:t>
      </w:r>
    </w:p>
    <w:p w14:paraId="1A65181E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14:paraId="335AE9ED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9.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14:paraId="41CCF753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10. </w:t>
      </w:r>
      <w:r w:rsidR="007278FB" w:rsidRPr="009D300B">
        <w:rPr>
          <w:rFonts w:eastAsia="Calibri" w:cs="Times New Roman"/>
          <w:sz w:val="24"/>
          <w:szCs w:val="24"/>
        </w:rPr>
        <w:t>Побудова графіка використання машин.</w:t>
      </w:r>
    </w:p>
    <w:p w14:paraId="6F38F6E7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11. </w:t>
      </w:r>
      <w:r w:rsidR="007278FB" w:rsidRPr="009D300B">
        <w:rPr>
          <w:rFonts w:eastAsia="Calibri" w:cs="Times New Roman"/>
          <w:sz w:val="24"/>
          <w:szCs w:val="24"/>
        </w:rPr>
        <w:t>Організаційні форми використання техніки.</w:t>
      </w:r>
    </w:p>
    <w:p w14:paraId="7764EE41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12. </w:t>
      </w:r>
      <w:r w:rsidR="007278FB" w:rsidRPr="009D300B">
        <w:rPr>
          <w:rFonts w:eastAsia="Calibri" w:cs="Times New Roman"/>
          <w:sz w:val="24"/>
          <w:szCs w:val="24"/>
        </w:rPr>
        <w:t>Показники машино використання.</w:t>
      </w:r>
    </w:p>
    <w:p w14:paraId="76153B01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13.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14:paraId="27859E42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14.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14:paraId="4C151E6C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15. </w:t>
      </w:r>
      <w:r w:rsidR="007278FB" w:rsidRPr="009D300B">
        <w:rPr>
          <w:rFonts w:eastAsia="Calibri" w:cs="Times New Roman"/>
          <w:sz w:val="24"/>
          <w:szCs w:val="24"/>
        </w:rPr>
        <w:t>Підготовка машин для внесення добрив та гербіцидів під час обробітку ґрунту.</w:t>
      </w:r>
    </w:p>
    <w:p w14:paraId="613CE3E8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16. </w:t>
      </w:r>
      <w:r w:rsidR="007278FB" w:rsidRPr="009D300B">
        <w:rPr>
          <w:rFonts w:eastAsia="Calibri" w:cs="Times New Roman"/>
          <w:sz w:val="24"/>
          <w:szCs w:val="24"/>
        </w:rPr>
        <w:t xml:space="preserve">Підготовка машин для сівби і садіння. </w:t>
      </w:r>
    </w:p>
    <w:p w14:paraId="780030D7" w14:textId="77777777" w:rsidR="007278FB" w:rsidRPr="009D300B" w:rsidRDefault="007278FB" w:rsidP="007278FB">
      <w:pPr>
        <w:spacing w:after="0" w:line="240" w:lineRule="auto"/>
        <w:ind w:firstLine="709"/>
        <w:rPr>
          <w:rFonts w:eastAsia="Calibri" w:cs="Times New Roman"/>
          <w:sz w:val="24"/>
          <w:szCs w:val="24"/>
        </w:rPr>
      </w:pPr>
    </w:p>
    <w:p w14:paraId="3A5EA815" w14:textId="77777777" w:rsidR="007278FB" w:rsidRPr="00B53C6D" w:rsidRDefault="007278FB" w:rsidP="00B53C6D">
      <w:pPr>
        <w:spacing w:after="0" w:line="240" w:lineRule="auto"/>
        <w:rPr>
          <w:rFonts w:ascii="Calibri" w:eastAsia="Calibri" w:hAnsi="Calibri" w:cs="Times New Roman"/>
          <w:sz w:val="22"/>
        </w:rPr>
      </w:pPr>
    </w:p>
    <w:sectPr w:rsidR="007278FB" w:rsidRP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10498">
    <w:abstractNumId w:val="4"/>
  </w:num>
  <w:num w:numId="2" w16cid:durableId="556818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3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6330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05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1432AA"/>
    <w:rsid w:val="0033525F"/>
    <w:rsid w:val="00474F77"/>
    <w:rsid w:val="007278FB"/>
    <w:rsid w:val="009D300B"/>
    <w:rsid w:val="00A01910"/>
    <w:rsid w:val="00B53C6D"/>
    <w:rsid w:val="00BE7289"/>
    <w:rsid w:val="00CC2A34"/>
    <w:rsid w:val="00DA44D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C83A"/>
  <w15:docId w15:val="{13CF22F8-0CBC-4F9F-9357-93A1188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7</cp:revision>
  <dcterms:created xsi:type="dcterms:W3CDTF">2020-10-08T07:59:00Z</dcterms:created>
  <dcterms:modified xsi:type="dcterms:W3CDTF">2023-10-20T06:14:00Z</dcterms:modified>
</cp:coreProperties>
</file>