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350" w:rsidRPr="003135A7" w:rsidRDefault="00D13350" w:rsidP="00D1335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b/>
          <w:sz w:val="28"/>
          <w:szCs w:val="28"/>
          <w:lang w:eastAsia="ru-RU"/>
        </w:rPr>
        <w:t>АГРОЦЕНОЛОГІЯ. ПОЛЬОВІ КУЛЬТУРИ</w:t>
      </w:r>
    </w:p>
    <w:p w:rsidR="00D13350" w:rsidRDefault="00D13350" w:rsidP="00D1335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13350" w:rsidRDefault="00D13350" w:rsidP="00D1335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Кафедра р</w:t>
      </w:r>
      <w:r w:rsidRPr="003135A7">
        <w:rPr>
          <w:rFonts w:ascii="Arial" w:eastAsia="Times New Roman" w:hAnsi="Arial" w:cs="Arial"/>
          <w:b/>
          <w:sz w:val="28"/>
          <w:szCs w:val="28"/>
          <w:lang w:eastAsia="ru-RU"/>
        </w:rPr>
        <w:t>ослинництва</w:t>
      </w:r>
    </w:p>
    <w:p w:rsidR="00D13350" w:rsidRDefault="00D13350" w:rsidP="00D1335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13350" w:rsidRDefault="00D13350" w:rsidP="00D1335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Агробіологічний факультет</w:t>
      </w:r>
    </w:p>
    <w:p w:rsidR="00D13350" w:rsidRPr="003135A7" w:rsidRDefault="00D13350" w:rsidP="00D1335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3828"/>
        <w:gridCol w:w="5943"/>
      </w:tblGrid>
      <w:tr w:rsidR="00D13350" w:rsidRPr="003135A7" w:rsidTr="00AC26B6">
        <w:tc>
          <w:tcPr>
            <w:tcW w:w="3828" w:type="dxa"/>
            <w:shd w:val="clear" w:color="auto" w:fill="auto"/>
            <w:vAlign w:val="center"/>
          </w:tcPr>
          <w:p w:rsidR="00D13350" w:rsidRPr="003135A7" w:rsidRDefault="00D13350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D13350" w:rsidRPr="003135A7" w:rsidRDefault="00D13350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proofErr w:type="spellStart"/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Каленська</w:t>
            </w:r>
            <w:proofErr w:type="spellEnd"/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 xml:space="preserve"> Світлана Михайлівна</w:t>
            </w:r>
          </w:p>
        </w:tc>
      </w:tr>
      <w:tr w:rsidR="00D13350" w:rsidRPr="003135A7" w:rsidTr="00AC26B6">
        <w:tc>
          <w:tcPr>
            <w:tcW w:w="3828" w:type="dxa"/>
            <w:shd w:val="clear" w:color="auto" w:fill="auto"/>
            <w:vAlign w:val="center"/>
          </w:tcPr>
          <w:p w:rsidR="00D13350" w:rsidRPr="003135A7" w:rsidRDefault="00D13350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D13350" w:rsidRPr="003135A7" w:rsidRDefault="00D13350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D13350" w:rsidRPr="003135A7" w:rsidTr="00AC26B6">
        <w:tc>
          <w:tcPr>
            <w:tcW w:w="3828" w:type="dxa"/>
            <w:shd w:val="clear" w:color="auto" w:fill="auto"/>
            <w:vAlign w:val="center"/>
          </w:tcPr>
          <w:p w:rsidR="00D13350" w:rsidRPr="003135A7" w:rsidRDefault="00D13350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D13350" w:rsidRPr="003135A7" w:rsidRDefault="00D13350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Магістр</w:t>
            </w:r>
          </w:p>
        </w:tc>
      </w:tr>
      <w:tr w:rsidR="00D13350" w:rsidRPr="003135A7" w:rsidTr="00AC26B6">
        <w:tc>
          <w:tcPr>
            <w:tcW w:w="3828" w:type="dxa"/>
            <w:shd w:val="clear" w:color="auto" w:fill="auto"/>
            <w:vAlign w:val="center"/>
          </w:tcPr>
          <w:p w:rsidR="00D13350" w:rsidRPr="003135A7" w:rsidRDefault="00D13350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D13350" w:rsidRPr="003135A7" w:rsidRDefault="00D13350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13350" w:rsidRPr="003135A7" w:rsidTr="00AC26B6">
        <w:tc>
          <w:tcPr>
            <w:tcW w:w="3828" w:type="dxa"/>
            <w:shd w:val="clear" w:color="auto" w:fill="auto"/>
            <w:vAlign w:val="center"/>
          </w:tcPr>
          <w:p w:rsidR="00D13350" w:rsidRPr="003135A7" w:rsidRDefault="00D13350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D13350" w:rsidRPr="003135A7" w:rsidRDefault="00D13350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Екзамен</w:t>
            </w:r>
          </w:p>
        </w:tc>
      </w:tr>
      <w:tr w:rsidR="00D13350" w:rsidRPr="003135A7" w:rsidTr="00AC26B6">
        <w:tc>
          <w:tcPr>
            <w:tcW w:w="3828" w:type="dxa"/>
            <w:shd w:val="clear" w:color="auto" w:fill="auto"/>
          </w:tcPr>
          <w:p w:rsidR="00D13350" w:rsidRPr="003135A7" w:rsidRDefault="00D13350" w:rsidP="00AC26B6">
            <w:pPr>
              <w:spacing w:after="0" w:line="240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i/>
                <w:sz w:val="28"/>
                <w:szCs w:val="28"/>
                <w:lang w:eastAsia="ru-RU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D13350" w:rsidRPr="003135A7" w:rsidRDefault="00D13350" w:rsidP="00AC26B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</w:pPr>
            <w:r w:rsidRPr="003135A7">
              <w:rPr>
                <w:rFonts w:ascii="Arial" w:eastAsia="Calibri" w:hAnsi="Arial" w:cs="Arial"/>
                <w:b/>
                <w:sz w:val="28"/>
                <w:szCs w:val="28"/>
                <w:lang w:eastAsia="ru-RU"/>
              </w:rPr>
              <w:t>30 (15 год. лекцій, 15 год. практичних чи лабораторних)</w:t>
            </w:r>
          </w:p>
        </w:tc>
      </w:tr>
    </w:tbl>
    <w:p w:rsidR="00D13350" w:rsidRPr="003135A7" w:rsidRDefault="00D13350" w:rsidP="00D13350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13350" w:rsidRPr="003135A7" w:rsidRDefault="00D13350" w:rsidP="00D13350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b/>
          <w:sz w:val="28"/>
          <w:szCs w:val="28"/>
          <w:lang w:eastAsia="ru-RU"/>
        </w:rPr>
        <w:t>Загальний опис дисципліни</w:t>
      </w:r>
    </w:p>
    <w:p w:rsidR="00D13350" w:rsidRPr="003135A7" w:rsidRDefault="00D13350" w:rsidP="00D13350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sz w:val="28"/>
          <w:szCs w:val="28"/>
          <w:lang w:eastAsia="ru-RU"/>
        </w:rPr>
        <w:t>Дисципліна «</w:t>
      </w:r>
      <w:proofErr w:type="spellStart"/>
      <w:r w:rsidRPr="003135A7">
        <w:rPr>
          <w:rFonts w:ascii="Arial" w:eastAsia="Times New Roman" w:hAnsi="Arial" w:cs="Arial"/>
          <w:sz w:val="28"/>
          <w:szCs w:val="28"/>
          <w:lang w:eastAsia="ru-RU"/>
        </w:rPr>
        <w:t>Агроценологія</w:t>
      </w:r>
      <w:proofErr w:type="spellEnd"/>
      <w:r w:rsidRPr="003135A7">
        <w:rPr>
          <w:rFonts w:ascii="Arial" w:eastAsia="Times New Roman" w:hAnsi="Arial" w:cs="Arial"/>
          <w:sz w:val="28"/>
          <w:szCs w:val="28"/>
          <w:lang w:eastAsia="ru-RU"/>
        </w:rPr>
        <w:t xml:space="preserve">. Польові культури» передбачає вивчення теоретичних засад стійкості агроценозів польових культур, вимог до чинників довкілля, закономірностей формування величини і якості урожаю завдяки комплексному узагальненому поєднанню факторів формування врожаю та стійкості до стресових умов рослин, формування елементів технології вирощування культур, які забезпечують функціонування екологічно стійких агроценозів.  </w:t>
      </w:r>
    </w:p>
    <w:p w:rsidR="00D13350" w:rsidRDefault="00D13350" w:rsidP="00D1335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13350" w:rsidRPr="003135A7" w:rsidRDefault="00D13350" w:rsidP="00D1335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b/>
          <w:sz w:val="28"/>
          <w:szCs w:val="28"/>
          <w:lang w:eastAsia="ru-RU"/>
        </w:rPr>
        <w:t>Теми лекцій:</w:t>
      </w:r>
    </w:p>
    <w:p w:rsidR="00D13350" w:rsidRPr="003135A7" w:rsidRDefault="00D13350" w:rsidP="00D1335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 xml:space="preserve">Теоретичні основи формування стійких агроценозів. взаємозв’язки формування агроценозів. </w:t>
      </w:r>
    </w:p>
    <w:p w:rsidR="00D13350" w:rsidRPr="003135A7" w:rsidRDefault="00D13350" w:rsidP="00D1335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 xml:space="preserve">Енергетична ефективність агроценозів. продуктивність та </w:t>
      </w:r>
      <w:proofErr w:type="spellStart"/>
      <w:r w:rsidRPr="003135A7">
        <w:rPr>
          <w:rFonts w:ascii="Arial" w:eastAsia="Calibri" w:hAnsi="Arial" w:cs="Arial"/>
          <w:sz w:val="28"/>
          <w:szCs w:val="28"/>
        </w:rPr>
        <w:t>біорізноманіття</w:t>
      </w:r>
      <w:proofErr w:type="spellEnd"/>
      <w:r w:rsidRPr="003135A7">
        <w:rPr>
          <w:rFonts w:ascii="Arial" w:eastAsia="Calibri" w:hAnsi="Arial" w:cs="Arial"/>
          <w:sz w:val="28"/>
          <w:szCs w:val="28"/>
        </w:rPr>
        <w:t xml:space="preserve"> агроценозів </w:t>
      </w:r>
    </w:p>
    <w:p w:rsidR="00D13350" w:rsidRPr="003135A7" w:rsidRDefault="00D13350" w:rsidP="00D1335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 xml:space="preserve">Формування стійких до стресів агроценозів.  управління процесами формування стійких агроценозів через добір, інтродукцію та використання біологічних та екологічних типів рослин.  </w:t>
      </w:r>
    </w:p>
    <w:p w:rsidR="00D13350" w:rsidRPr="003135A7" w:rsidRDefault="00D13350" w:rsidP="00D1335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 xml:space="preserve">Екологічна рівновага агроценозів. </w:t>
      </w:r>
    </w:p>
    <w:p w:rsidR="00D13350" w:rsidRPr="003135A7" w:rsidRDefault="00D13350" w:rsidP="00D1335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 xml:space="preserve">Формування агроценозів залежно від властивостей ґрунту та ґрунтової </w:t>
      </w:r>
      <w:proofErr w:type="spellStart"/>
      <w:r w:rsidRPr="003135A7">
        <w:rPr>
          <w:rFonts w:ascii="Arial" w:eastAsia="Calibri" w:hAnsi="Arial" w:cs="Arial"/>
          <w:sz w:val="28"/>
          <w:szCs w:val="28"/>
        </w:rPr>
        <w:t>мікробіоти</w:t>
      </w:r>
      <w:proofErr w:type="spellEnd"/>
      <w:r w:rsidRPr="003135A7">
        <w:rPr>
          <w:rFonts w:ascii="Arial" w:eastAsia="Calibri" w:hAnsi="Arial" w:cs="Arial"/>
          <w:sz w:val="28"/>
          <w:szCs w:val="28"/>
        </w:rPr>
        <w:t xml:space="preserve"> роль супутніх видів рослин у формуванні агроценозу. </w:t>
      </w:r>
    </w:p>
    <w:p w:rsidR="00D13350" w:rsidRPr="003135A7" w:rsidRDefault="00D13350" w:rsidP="00D1335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 xml:space="preserve">Взаємодія між рослинами, </w:t>
      </w:r>
      <w:proofErr w:type="spellStart"/>
      <w:r w:rsidRPr="003135A7">
        <w:rPr>
          <w:rFonts w:ascii="Arial" w:eastAsia="Calibri" w:hAnsi="Arial" w:cs="Arial"/>
          <w:sz w:val="28"/>
          <w:szCs w:val="28"/>
        </w:rPr>
        <w:t>фітопатогенами</w:t>
      </w:r>
      <w:proofErr w:type="spellEnd"/>
      <w:r w:rsidRPr="003135A7">
        <w:rPr>
          <w:rFonts w:ascii="Arial" w:eastAsia="Calibri" w:hAnsi="Arial" w:cs="Arial"/>
          <w:sz w:val="28"/>
          <w:szCs w:val="28"/>
        </w:rPr>
        <w:t>, фітофагами та корисними бацилами. роль фітофагів у розвитку основного виду та супутніх.</w:t>
      </w:r>
    </w:p>
    <w:p w:rsidR="00D13350" w:rsidRPr="003135A7" w:rsidRDefault="00D13350" w:rsidP="00D1335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 xml:space="preserve">Технологічні особливості формування агроценозів сільськогосподарських культур </w:t>
      </w:r>
    </w:p>
    <w:p w:rsidR="00D13350" w:rsidRPr="003135A7" w:rsidRDefault="00D13350" w:rsidP="00D13350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>Стійкість агроценозів за виробництва органічної продукції.</w:t>
      </w:r>
    </w:p>
    <w:p w:rsidR="00D13350" w:rsidRPr="003135A7" w:rsidRDefault="00D13350" w:rsidP="00D13350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</w:p>
    <w:p w:rsidR="00D13350" w:rsidRPr="003135A7" w:rsidRDefault="00D13350" w:rsidP="00D1335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b/>
          <w:sz w:val="28"/>
          <w:szCs w:val="28"/>
          <w:lang w:eastAsia="ru-RU"/>
        </w:rPr>
        <w:t>Теми занять:</w:t>
      </w:r>
    </w:p>
    <w:p w:rsidR="00D13350" w:rsidRPr="003135A7" w:rsidRDefault="00D13350" w:rsidP="00D13350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3135A7">
        <w:rPr>
          <w:rFonts w:ascii="Arial" w:eastAsia="Times New Roman" w:hAnsi="Arial" w:cs="Arial"/>
          <w:b/>
          <w:i/>
          <w:sz w:val="28"/>
          <w:szCs w:val="28"/>
          <w:lang w:eastAsia="ru-RU"/>
        </w:rPr>
        <w:t>(семінарських, практичних, лабораторних)</w:t>
      </w:r>
    </w:p>
    <w:p w:rsidR="00D13350" w:rsidRPr="003135A7" w:rsidRDefault="00D13350" w:rsidP="00D1335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 xml:space="preserve">Аналіз стану </w:t>
      </w:r>
      <w:proofErr w:type="spellStart"/>
      <w:r w:rsidRPr="003135A7">
        <w:rPr>
          <w:rFonts w:ascii="Arial" w:eastAsia="Calibri" w:hAnsi="Arial" w:cs="Arial"/>
          <w:sz w:val="28"/>
          <w:szCs w:val="28"/>
        </w:rPr>
        <w:t>агросистеми</w:t>
      </w:r>
      <w:proofErr w:type="spellEnd"/>
      <w:r w:rsidRPr="003135A7">
        <w:rPr>
          <w:rFonts w:ascii="Arial" w:eastAsia="Calibri" w:hAnsi="Arial" w:cs="Arial"/>
          <w:sz w:val="28"/>
          <w:szCs w:val="28"/>
        </w:rPr>
        <w:t xml:space="preserve"> за комплексом параметрів</w:t>
      </w:r>
      <w:r>
        <w:rPr>
          <w:rFonts w:ascii="Arial" w:eastAsia="Calibri" w:hAnsi="Arial" w:cs="Arial"/>
          <w:sz w:val="28"/>
          <w:szCs w:val="28"/>
        </w:rPr>
        <w:t>.</w:t>
      </w:r>
      <w:bookmarkStart w:id="0" w:name="_GoBack"/>
      <w:bookmarkEnd w:id="0"/>
    </w:p>
    <w:p w:rsidR="00D13350" w:rsidRPr="003135A7" w:rsidRDefault="00D13350" w:rsidP="00D1335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lastRenderedPageBreak/>
        <w:t>Аналіз структури агроценозу. Якісна оцінка структурних компонентів. Моделювання агроценозів.</w:t>
      </w:r>
    </w:p>
    <w:p w:rsidR="00D13350" w:rsidRPr="003135A7" w:rsidRDefault="00D13350" w:rsidP="00D1335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proofErr w:type="spellStart"/>
      <w:r w:rsidRPr="003135A7">
        <w:rPr>
          <w:rFonts w:ascii="Arial" w:eastAsia="Calibri" w:hAnsi="Arial" w:cs="Arial"/>
          <w:sz w:val="28"/>
          <w:szCs w:val="28"/>
        </w:rPr>
        <w:t>Мікробіота</w:t>
      </w:r>
      <w:proofErr w:type="spellEnd"/>
      <w:r w:rsidRPr="003135A7">
        <w:rPr>
          <w:rFonts w:ascii="Arial" w:eastAsia="Calibri" w:hAnsi="Arial" w:cs="Arial"/>
          <w:sz w:val="28"/>
          <w:szCs w:val="28"/>
        </w:rPr>
        <w:t xml:space="preserve"> ґрунту.</w:t>
      </w:r>
    </w:p>
    <w:p w:rsidR="00D13350" w:rsidRPr="003135A7" w:rsidRDefault="00D13350" w:rsidP="00D1335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proofErr w:type="spellStart"/>
      <w:r w:rsidRPr="003135A7">
        <w:rPr>
          <w:rFonts w:ascii="Arial" w:eastAsia="Calibri" w:hAnsi="Arial" w:cs="Arial"/>
          <w:sz w:val="28"/>
          <w:szCs w:val="28"/>
        </w:rPr>
        <w:t>Стресостійкість</w:t>
      </w:r>
      <w:proofErr w:type="spellEnd"/>
      <w:r w:rsidRPr="003135A7">
        <w:rPr>
          <w:rFonts w:ascii="Arial" w:eastAsia="Calibri" w:hAnsi="Arial" w:cs="Arial"/>
          <w:sz w:val="28"/>
          <w:szCs w:val="28"/>
        </w:rPr>
        <w:t xml:space="preserve"> рослин. Методи визначення посухостійкості, жаростійкості, холодостійкості, морозостійкості рослин. </w:t>
      </w:r>
    </w:p>
    <w:p w:rsidR="00D13350" w:rsidRPr="003135A7" w:rsidRDefault="00D13350" w:rsidP="00D1335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 xml:space="preserve">Методи визначення </w:t>
      </w:r>
      <w:proofErr w:type="spellStart"/>
      <w:r w:rsidRPr="003135A7">
        <w:rPr>
          <w:rFonts w:ascii="Arial" w:eastAsia="Calibri" w:hAnsi="Arial" w:cs="Arial"/>
          <w:sz w:val="28"/>
          <w:szCs w:val="28"/>
        </w:rPr>
        <w:t>алелопатичної</w:t>
      </w:r>
      <w:proofErr w:type="spellEnd"/>
      <w:r w:rsidRPr="003135A7">
        <w:rPr>
          <w:rFonts w:ascii="Arial" w:eastAsia="Calibri" w:hAnsi="Arial" w:cs="Arial"/>
          <w:sz w:val="28"/>
          <w:szCs w:val="28"/>
        </w:rPr>
        <w:t xml:space="preserve"> дії рослин.</w:t>
      </w:r>
    </w:p>
    <w:p w:rsidR="00D13350" w:rsidRPr="003135A7" w:rsidRDefault="00D13350" w:rsidP="00D1335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>Методика розрахунку екологічної пластичності та стабільності сортів польових культур</w:t>
      </w:r>
    </w:p>
    <w:p w:rsidR="00D13350" w:rsidRPr="003135A7" w:rsidRDefault="00D13350" w:rsidP="00D1335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>Методологія розробки систем захисту рослин та удобрення в технологіях з напрямленим формуванням якості продукції</w:t>
      </w:r>
    </w:p>
    <w:p w:rsidR="00D13350" w:rsidRPr="003135A7" w:rsidRDefault="00D13350" w:rsidP="00D1335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8"/>
          <w:szCs w:val="28"/>
        </w:rPr>
      </w:pPr>
      <w:r w:rsidRPr="003135A7">
        <w:rPr>
          <w:rFonts w:ascii="Arial" w:eastAsia="Calibri" w:hAnsi="Arial" w:cs="Arial"/>
          <w:sz w:val="28"/>
          <w:szCs w:val="28"/>
        </w:rPr>
        <w:t>Методи оцінки та прогнозування ризиків.</w:t>
      </w:r>
    </w:p>
    <w:p w:rsidR="00D13350" w:rsidRDefault="00D13350" w:rsidP="00D13350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08511A" w:rsidRDefault="0008511A"/>
    <w:sectPr w:rsidR="0008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5419"/>
    <w:multiLevelType w:val="hybridMultilevel"/>
    <w:tmpl w:val="318A023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22C99"/>
    <w:multiLevelType w:val="hybridMultilevel"/>
    <w:tmpl w:val="6E760B9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41"/>
    <w:rsid w:val="0008511A"/>
    <w:rsid w:val="00D13350"/>
    <w:rsid w:val="00E1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770D"/>
  <w15:chartTrackingRefBased/>
  <w15:docId w15:val="{1FC4D1F7-2D5B-408C-94DA-CA385184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3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2020-10-13T08:35:00Z</dcterms:created>
  <dcterms:modified xsi:type="dcterms:W3CDTF">2020-10-13T08:37:00Z</dcterms:modified>
</cp:coreProperties>
</file>