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44" w:rsidRPr="003135A7" w:rsidRDefault="00911544" w:rsidP="00911544">
      <w:pPr>
        <w:spacing w:after="0" w:line="240" w:lineRule="auto"/>
        <w:jc w:val="center"/>
        <w:rPr>
          <w:rFonts w:ascii="Arial" w:hAnsi="Arial" w:cs="Arial"/>
          <w:b/>
          <w:sz w:val="28"/>
          <w:szCs w:val="28"/>
        </w:rPr>
      </w:pPr>
      <w:r w:rsidRPr="003135A7">
        <w:rPr>
          <w:rFonts w:ascii="Arial" w:hAnsi="Arial" w:cs="Arial"/>
          <w:b/>
          <w:sz w:val="28"/>
          <w:szCs w:val="28"/>
        </w:rPr>
        <w:t>ІННОВАЦІЙНІ ТЕХНОЛОГІЇ АДАПТАЦІЇ ДО ЗМІН КЛІМАТУ</w:t>
      </w:r>
    </w:p>
    <w:p w:rsidR="00911544" w:rsidRPr="003135A7" w:rsidRDefault="00911544" w:rsidP="00911544">
      <w:pPr>
        <w:spacing w:after="0" w:line="240" w:lineRule="auto"/>
        <w:jc w:val="center"/>
        <w:rPr>
          <w:rFonts w:ascii="Arial" w:hAnsi="Arial" w:cs="Arial"/>
          <w:b/>
          <w:sz w:val="28"/>
          <w:szCs w:val="28"/>
        </w:rPr>
      </w:pPr>
    </w:p>
    <w:p w:rsidR="00911544" w:rsidRDefault="00911544" w:rsidP="00911544">
      <w:pPr>
        <w:spacing w:after="0" w:line="240" w:lineRule="auto"/>
        <w:jc w:val="center"/>
        <w:rPr>
          <w:rFonts w:ascii="Arial" w:hAnsi="Arial" w:cs="Arial"/>
          <w:b/>
          <w:sz w:val="28"/>
          <w:szCs w:val="28"/>
        </w:rPr>
      </w:pPr>
      <w:r w:rsidRPr="003135A7">
        <w:rPr>
          <w:rFonts w:ascii="Arial" w:hAnsi="Arial" w:cs="Arial"/>
          <w:b/>
          <w:sz w:val="28"/>
          <w:szCs w:val="28"/>
        </w:rPr>
        <w:t xml:space="preserve">Кафедра </w:t>
      </w:r>
      <w:proofErr w:type="spellStart"/>
      <w:r w:rsidRPr="003135A7">
        <w:rPr>
          <w:rFonts w:ascii="Arial" w:hAnsi="Arial" w:cs="Arial"/>
          <w:b/>
          <w:sz w:val="28"/>
          <w:szCs w:val="28"/>
        </w:rPr>
        <w:t>кормовиробництва</w:t>
      </w:r>
      <w:proofErr w:type="spellEnd"/>
      <w:r w:rsidRPr="003135A7">
        <w:rPr>
          <w:rFonts w:ascii="Arial" w:hAnsi="Arial" w:cs="Arial"/>
          <w:b/>
          <w:sz w:val="28"/>
          <w:szCs w:val="28"/>
        </w:rPr>
        <w:t>, меліорації і метеорології</w:t>
      </w:r>
    </w:p>
    <w:p w:rsidR="00911544" w:rsidRDefault="00911544" w:rsidP="00911544">
      <w:pPr>
        <w:spacing w:after="0" w:line="240" w:lineRule="auto"/>
        <w:jc w:val="center"/>
        <w:rPr>
          <w:rFonts w:ascii="Arial" w:hAnsi="Arial" w:cs="Arial"/>
          <w:b/>
          <w:sz w:val="28"/>
          <w:szCs w:val="28"/>
        </w:rPr>
      </w:pPr>
    </w:p>
    <w:p w:rsidR="00911544" w:rsidRPr="003135A7" w:rsidRDefault="00911544" w:rsidP="00911544">
      <w:pPr>
        <w:spacing w:after="0" w:line="240" w:lineRule="auto"/>
        <w:jc w:val="center"/>
        <w:rPr>
          <w:rFonts w:ascii="Arial" w:hAnsi="Arial" w:cs="Arial"/>
          <w:b/>
          <w:sz w:val="28"/>
          <w:szCs w:val="28"/>
        </w:rPr>
      </w:pPr>
      <w:r>
        <w:rPr>
          <w:rFonts w:ascii="Arial" w:hAnsi="Arial" w:cs="Arial"/>
          <w:b/>
          <w:sz w:val="28"/>
          <w:szCs w:val="28"/>
        </w:rPr>
        <w:t>Агробіологічний факультет</w:t>
      </w:r>
    </w:p>
    <w:p w:rsidR="00911544" w:rsidRPr="003135A7" w:rsidRDefault="00911544" w:rsidP="00911544">
      <w:pPr>
        <w:spacing w:after="0" w:line="240" w:lineRule="auto"/>
        <w:jc w:val="center"/>
        <w:rPr>
          <w:rFonts w:ascii="Arial" w:hAnsi="Arial" w:cs="Arial"/>
          <w:b/>
          <w:sz w:val="28"/>
          <w:szCs w:val="28"/>
        </w:rPr>
      </w:pPr>
    </w:p>
    <w:tbl>
      <w:tblPr>
        <w:tblStyle w:val="2"/>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43"/>
      </w:tblGrid>
      <w:tr w:rsidR="00911544" w:rsidRPr="003135A7" w:rsidTr="00AC26B6">
        <w:tc>
          <w:tcPr>
            <w:tcW w:w="3828" w:type="dxa"/>
          </w:tcPr>
          <w:p w:rsidR="00911544" w:rsidRPr="003135A7" w:rsidRDefault="00911544" w:rsidP="00911544">
            <w:pPr>
              <w:rPr>
                <w:rFonts w:ascii="Arial" w:hAnsi="Arial" w:cs="Arial"/>
                <w:b/>
                <w:i/>
                <w:sz w:val="28"/>
                <w:szCs w:val="28"/>
              </w:rPr>
            </w:pPr>
            <w:r w:rsidRPr="003135A7">
              <w:rPr>
                <w:rFonts w:ascii="Arial" w:hAnsi="Arial" w:cs="Arial"/>
                <w:b/>
                <w:i/>
                <w:sz w:val="28"/>
                <w:szCs w:val="28"/>
              </w:rPr>
              <w:t>Лектори</w:t>
            </w:r>
          </w:p>
        </w:tc>
        <w:tc>
          <w:tcPr>
            <w:tcW w:w="5943" w:type="dxa"/>
            <w:vAlign w:val="center"/>
          </w:tcPr>
          <w:p w:rsidR="00911544" w:rsidRPr="003135A7" w:rsidRDefault="00911544" w:rsidP="00911544">
            <w:pPr>
              <w:rPr>
                <w:rFonts w:ascii="Arial" w:hAnsi="Arial" w:cs="Arial"/>
                <w:b/>
                <w:sz w:val="28"/>
                <w:szCs w:val="28"/>
              </w:rPr>
            </w:pPr>
            <w:proofErr w:type="spellStart"/>
            <w:r w:rsidRPr="003135A7">
              <w:rPr>
                <w:rFonts w:ascii="Arial" w:hAnsi="Arial" w:cs="Arial"/>
                <w:b/>
                <w:sz w:val="28"/>
                <w:szCs w:val="28"/>
              </w:rPr>
              <w:t>Скриник</w:t>
            </w:r>
            <w:proofErr w:type="spellEnd"/>
            <w:r w:rsidRPr="003135A7">
              <w:rPr>
                <w:rFonts w:ascii="Arial" w:hAnsi="Arial" w:cs="Arial"/>
                <w:b/>
                <w:sz w:val="28"/>
                <w:szCs w:val="28"/>
              </w:rPr>
              <w:t xml:space="preserve"> Олеся </w:t>
            </w:r>
            <w:proofErr w:type="spellStart"/>
            <w:r w:rsidRPr="003135A7">
              <w:rPr>
                <w:rFonts w:ascii="Arial" w:hAnsi="Arial" w:cs="Arial"/>
                <w:b/>
                <w:sz w:val="28"/>
                <w:szCs w:val="28"/>
              </w:rPr>
              <w:t>Атанасіївна</w:t>
            </w:r>
            <w:proofErr w:type="spellEnd"/>
            <w:r w:rsidR="0043173D">
              <w:rPr>
                <w:rFonts w:ascii="Arial" w:hAnsi="Arial" w:cs="Arial"/>
                <w:b/>
                <w:sz w:val="28"/>
                <w:szCs w:val="28"/>
              </w:rPr>
              <w:t>,</w:t>
            </w:r>
            <w:bookmarkStart w:id="0" w:name="_GoBack"/>
            <w:bookmarkEnd w:id="0"/>
            <w:r w:rsidRPr="003135A7">
              <w:rPr>
                <w:rFonts w:ascii="Arial" w:hAnsi="Arial" w:cs="Arial"/>
                <w:b/>
                <w:sz w:val="28"/>
                <w:szCs w:val="28"/>
              </w:rPr>
              <w:t xml:space="preserve"> </w:t>
            </w:r>
          </w:p>
          <w:p w:rsidR="00911544" w:rsidRPr="003135A7" w:rsidRDefault="00911544" w:rsidP="00911544">
            <w:pPr>
              <w:rPr>
                <w:rFonts w:ascii="Arial" w:hAnsi="Arial" w:cs="Arial"/>
                <w:b/>
                <w:sz w:val="28"/>
                <w:szCs w:val="28"/>
              </w:rPr>
            </w:pPr>
            <w:r w:rsidRPr="003135A7">
              <w:rPr>
                <w:rFonts w:ascii="Arial" w:hAnsi="Arial" w:cs="Arial"/>
                <w:b/>
                <w:sz w:val="28"/>
                <w:szCs w:val="28"/>
              </w:rPr>
              <w:t>Ярош Анна В’ячеславівна</w:t>
            </w:r>
          </w:p>
        </w:tc>
      </w:tr>
      <w:tr w:rsidR="00911544" w:rsidRPr="003135A7" w:rsidTr="00AC26B6">
        <w:tc>
          <w:tcPr>
            <w:tcW w:w="3828" w:type="dxa"/>
            <w:vAlign w:val="center"/>
          </w:tcPr>
          <w:p w:rsidR="00911544" w:rsidRPr="003135A7" w:rsidRDefault="00911544" w:rsidP="00911544">
            <w:pPr>
              <w:rPr>
                <w:rFonts w:ascii="Arial" w:hAnsi="Arial" w:cs="Arial"/>
                <w:b/>
                <w:i/>
                <w:sz w:val="28"/>
                <w:szCs w:val="28"/>
              </w:rPr>
            </w:pPr>
            <w:r w:rsidRPr="003135A7">
              <w:rPr>
                <w:rFonts w:ascii="Arial" w:hAnsi="Arial" w:cs="Arial"/>
                <w:b/>
                <w:i/>
                <w:sz w:val="28"/>
                <w:szCs w:val="28"/>
              </w:rPr>
              <w:t>Семестр</w:t>
            </w:r>
          </w:p>
        </w:tc>
        <w:tc>
          <w:tcPr>
            <w:tcW w:w="5943" w:type="dxa"/>
            <w:vAlign w:val="center"/>
          </w:tcPr>
          <w:p w:rsidR="00911544" w:rsidRPr="003135A7" w:rsidRDefault="00911544" w:rsidP="00911544">
            <w:pPr>
              <w:rPr>
                <w:rFonts w:ascii="Arial" w:hAnsi="Arial" w:cs="Arial"/>
                <w:b/>
                <w:sz w:val="28"/>
                <w:szCs w:val="28"/>
              </w:rPr>
            </w:pPr>
            <w:r w:rsidRPr="003135A7">
              <w:rPr>
                <w:rFonts w:ascii="Arial" w:hAnsi="Arial" w:cs="Arial"/>
                <w:b/>
                <w:sz w:val="28"/>
                <w:szCs w:val="28"/>
              </w:rPr>
              <w:t>2</w:t>
            </w:r>
          </w:p>
        </w:tc>
      </w:tr>
      <w:tr w:rsidR="00911544" w:rsidRPr="003135A7" w:rsidTr="00AC26B6">
        <w:tc>
          <w:tcPr>
            <w:tcW w:w="3828" w:type="dxa"/>
            <w:vAlign w:val="center"/>
          </w:tcPr>
          <w:p w:rsidR="00911544" w:rsidRPr="003135A7" w:rsidRDefault="00911544" w:rsidP="00911544">
            <w:pPr>
              <w:rPr>
                <w:rFonts w:ascii="Arial" w:hAnsi="Arial" w:cs="Arial"/>
                <w:b/>
                <w:i/>
                <w:sz w:val="28"/>
                <w:szCs w:val="28"/>
              </w:rPr>
            </w:pPr>
            <w:r w:rsidRPr="003135A7">
              <w:rPr>
                <w:rFonts w:ascii="Arial" w:hAnsi="Arial" w:cs="Arial"/>
                <w:b/>
                <w:i/>
                <w:sz w:val="28"/>
                <w:szCs w:val="28"/>
              </w:rPr>
              <w:t>Освітній ступінь</w:t>
            </w:r>
          </w:p>
        </w:tc>
        <w:tc>
          <w:tcPr>
            <w:tcW w:w="5943" w:type="dxa"/>
            <w:vAlign w:val="center"/>
          </w:tcPr>
          <w:p w:rsidR="00911544" w:rsidRPr="003135A7" w:rsidRDefault="00911544" w:rsidP="00911544">
            <w:pPr>
              <w:rPr>
                <w:rFonts w:ascii="Arial" w:hAnsi="Arial" w:cs="Arial"/>
                <w:b/>
                <w:sz w:val="28"/>
                <w:szCs w:val="28"/>
              </w:rPr>
            </w:pPr>
            <w:r w:rsidRPr="003135A7">
              <w:rPr>
                <w:rFonts w:ascii="Arial" w:hAnsi="Arial" w:cs="Arial"/>
                <w:b/>
                <w:sz w:val="28"/>
                <w:szCs w:val="28"/>
              </w:rPr>
              <w:t>Магістр</w:t>
            </w:r>
          </w:p>
        </w:tc>
      </w:tr>
      <w:tr w:rsidR="00911544" w:rsidRPr="003135A7" w:rsidTr="00AC26B6">
        <w:tc>
          <w:tcPr>
            <w:tcW w:w="3828" w:type="dxa"/>
            <w:vAlign w:val="center"/>
          </w:tcPr>
          <w:p w:rsidR="00911544" w:rsidRPr="003135A7" w:rsidRDefault="00911544" w:rsidP="00911544">
            <w:pPr>
              <w:rPr>
                <w:rFonts w:ascii="Arial" w:hAnsi="Arial" w:cs="Arial"/>
                <w:b/>
                <w:i/>
                <w:sz w:val="28"/>
                <w:szCs w:val="28"/>
              </w:rPr>
            </w:pPr>
            <w:r w:rsidRPr="003135A7">
              <w:rPr>
                <w:rFonts w:ascii="Arial" w:hAnsi="Arial" w:cs="Arial"/>
                <w:b/>
                <w:i/>
                <w:sz w:val="28"/>
                <w:szCs w:val="28"/>
              </w:rPr>
              <w:t>Кількість кредитів ЄКТС</w:t>
            </w:r>
          </w:p>
        </w:tc>
        <w:tc>
          <w:tcPr>
            <w:tcW w:w="5943" w:type="dxa"/>
            <w:vAlign w:val="center"/>
          </w:tcPr>
          <w:p w:rsidR="00911544" w:rsidRPr="003135A7" w:rsidRDefault="00911544" w:rsidP="00911544">
            <w:pPr>
              <w:rPr>
                <w:rFonts w:ascii="Arial" w:hAnsi="Arial" w:cs="Arial"/>
                <w:b/>
                <w:sz w:val="28"/>
                <w:szCs w:val="28"/>
              </w:rPr>
            </w:pPr>
            <w:r w:rsidRPr="003135A7">
              <w:rPr>
                <w:rFonts w:ascii="Arial" w:hAnsi="Arial" w:cs="Arial"/>
                <w:b/>
                <w:sz w:val="28"/>
                <w:szCs w:val="28"/>
              </w:rPr>
              <w:t>4</w:t>
            </w:r>
          </w:p>
        </w:tc>
      </w:tr>
      <w:tr w:rsidR="00911544" w:rsidRPr="003135A7" w:rsidTr="00AC26B6">
        <w:tc>
          <w:tcPr>
            <w:tcW w:w="3828" w:type="dxa"/>
            <w:vAlign w:val="center"/>
          </w:tcPr>
          <w:p w:rsidR="00911544" w:rsidRPr="003135A7" w:rsidRDefault="00911544" w:rsidP="00911544">
            <w:pPr>
              <w:rPr>
                <w:rFonts w:ascii="Arial" w:hAnsi="Arial" w:cs="Arial"/>
                <w:b/>
                <w:i/>
                <w:sz w:val="28"/>
                <w:szCs w:val="28"/>
              </w:rPr>
            </w:pPr>
            <w:r w:rsidRPr="003135A7">
              <w:rPr>
                <w:rFonts w:ascii="Arial" w:hAnsi="Arial" w:cs="Arial"/>
                <w:b/>
                <w:i/>
                <w:sz w:val="28"/>
                <w:szCs w:val="28"/>
              </w:rPr>
              <w:t>Форма контролю</w:t>
            </w:r>
          </w:p>
        </w:tc>
        <w:tc>
          <w:tcPr>
            <w:tcW w:w="5943" w:type="dxa"/>
            <w:vAlign w:val="center"/>
          </w:tcPr>
          <w:p w:rsidR="00911544" w:rsidRPr="003135A7" w:rsidRDefault="00911544" w:rsidP="00911544">
            <w:pPr>
              <w:rPr>
                <w:rFonts w:ascii="Arial" w:hAnsi="Arial" w:cs="Arial"/>
                <w:b/>
                <w:sz w:val="28"/>
                <w:szCs w:val="28"/>
              </w:rPr>
            </w:pPr>
            <w:r w:rsidRPr="003135A7">
              <w:rPr>
                <w:rFonts w:ascii="Arial" w:hAnsi="Arial" w:cs="Arial"/>
                <w:b/>
                <w:sz w:val="28"/>
                <w:szCs w:val="28"/>
              </w:rPr>
              <w:t>Екзамен</w:t>
            </w:r>
          </w:p>
        </w:tc>
      </w:tr>
      <w:tr w:rsidR="00911544" w:rsidRPr="003135A7" w:rsidTr="00AC26B6">
        <w:tc>
          <w:tcPr>
            <w:tcW w:w="3828" w:type="dxa"/>
            <w:vAlign w:val="center"/>
          </w:tcPr>
          <w:p w:rsidR="00911544" w:rsidRPr="003135A7" w:rsidRDefault="00911544" w:rsidP="00911544">
            <w:pPr>
              <w:rPr>
                <w:rFonts w:ascii="Arial" w:hAnsi="Arial" w:cs="Arial"/>
                <w:b/>
                <w:i/>
                <w:sz w:val="28"/>
                <w:szCs w:val="28"/>
              </w:rPr>
            </w:pPr>
            <w:r w:rsidRPr="003135A7">
              <w:rPr>
                <w:rFonts w:ascii="Arial" w:hAnsi="Arial" w:cs="Arial"/>
                <w:b/>
                <w:i/>
                <w:sz w:val="28"/>
                <w:szCs w:val="28"/>
              </w:rPr>
              <w:t>Аудиторні години</w:t>
            </w:r>
          </w:p>
        </w:tc>
        <w:tc>
          <w:tcPr>
            <w:tcW w:w="5943" w:type="dxa"/>
            <w:vAlign w:val="center"/>
          </w:tcPr>
          <w:p w:rsidR="00911544" w:rsidRPr="003135A7" w:rsidRDefault="00911544" w:rsidP="00911544">
            <w:pPr>
              <w:rPr>
                <w:rFonts w:ascii="Arial" w:hAnsi="Arial" w:cs="Arial"/>
                <w:b/>
                <w:sz w:val="28"/>
                <w:szCs w:val="28"/>
              </w:rPr>
            </w:pPr>
            <w:r w:rsidRPr="003135A7">
              <w:rPr>
                <w:rFonts w:ascii="Arial" w:hAnsi="Arial" w:cs="Arial"/>
                <w:b/>
                <w:sz w:val="28"/>
                <w:szCs w:val="28"/>
              </w:rPr>
              <w:t>30 (15 год лекцій, 15 год практичних)</w:t>
            </w:r>
          </w:p>
        </w:tc>
      </w:tr>
    </w:tbl>
    <w:p w:rsidR="00911544" w:rsidRPr="003135A7" w:rsidRDefault="00911544" w:rsidP="00911544">
      <w:pPr>
        <w:spacing w:after="0" w:line="240" w:lineRule="auto"/>
        <w:jc w:val="both"/>
        <w:rPr>
          <w:rFonts w:ascii="Arial" w:hAnsi="Arial" w:cs="Arial"/>
          <w:b/>
          <w:sz w:val="28"/>
          <w:szCs w:val="28"/>
        </w:rPr>
      </w:pPr>
    </w:p>
    <w:p w:rsidR="00911544" w:rsidRPr="003135A7" w:rsidRDefault="00911544" w:rsidP="00911544">
      <w:pPr>
        <w:spacing w:after="0" w:line="240" w:lineRule="auto"/>
        <w:jc w:val="center"/>
        <w:rPr>
          <w:rFonts w:ascii="Arial" w:hAnsi="Arial" w:cs="Arial"/>
          <w:b/>
          <w:sz w:val="28"/>
          <w:szCs w:val="28"/>
        </w:rPr>
      </w:pPr>
      <w:r w:rsidRPr="003135A7">
        <w:rPr>
          <w:rFonts w:ascii="Arial" w:hAnsi="Arial" w:cs="Arial"/>
          <w:b/>
          <w:sz w:val="28"/>
          <w:szCs w:val="28"/>
        </w:rPr>
        <w:t>Загальний опис дисципліни</w:t>
      </w:r>
    </w:p>
    <w:p w:rsidR="00911544" w:rsidRPr="003851F0" w:rsidRDefault="00911544" w:rsidP="00911544">
      <w:pPr>
        <w:spacing w:after="0" w:line="240" w:lineRule="auto"/>
        <w:ind w:firstLine="709"/>
        <w:jc w:val="both"/>
        <w:rPr>
          <w:rFonts w:ascii="Arial" w:hAnsi="Arial" w:cs="Arial"/>
          <w:sz w:val="28"/>
          <w:szCs w:val="28"/>
        </w:rPr>
      </w:pPr>
      <w:r w:rsidRPr="003135A7">
        <w:rPr>
          <w:rFonts w:ascii="Arial" w:hAnsi="Arial" w:cs="Arial"/>
          <w:sz w:val="28"/>
          <w:szCs w:val="28"/>
        </w:rPr>
        <w:t xml:space="preserve">Дисципліна присвячена вивченню інноваційних технологій адаптації галузей економіки та  сільського господарства до зміни клімату. Курс </w:t>
      </w:r>
      <w:r w:rsidRPr="003851F0">
        <w:rPr>
          <w:rFonts w:ascii="Arial" w:hAnsi="Arial" w:cs="Arial"/>
          <w:sz w:val="28"/>
          <w:szCs w:val="28"/>
        </w:rPr>
        <w:t>складається з двох модулів. У межах першого модулю  розглядаються регіональні особливості прояву зміни клімату на території України та оцінюється вразливість  різних галузей  економіки та  сільського господарства до цих змін. Розглядаються основи адаптації до зміни клімату, класифікація видів адаптації, організаційна структура суб’єктів державної адаптаційної політики в Україні. Розглядається методологія програми дій з розробки адаптаційних заходів, критерії та індикатори для оцінки адаптаційних заходів, підходи та розробки адаптаційних заходів, що базуються  на зниженні масштабів загроз і ризиків зміни клімату, на зниження вразливості, на підвищенні потенціалу  адаптації.</w:t>
      </w:r>
    </w:p>
    <w:p w:rsidR="00911544" w:rsidRPr="003135A7" w:rsidRDefault="00911544" w:rsidP="00911544">
      <w:pPr>
        <w:spacing w:after="0" w:line="240" w:lineRule="auto"/>
        <w:ind w:firstLine="709"/>
        <w:jc w:val="both"/>
        <w:rPr>
          <w:rFonts w:ascii="Arial" w:hAnsi="Arial" w:cs="Arial"/>
          <w:sz w:val="28"/>
          <w:szCs w:val="28"/>
        </w:rPr>
      </w:pPr>
      <w:r>
        <w:rPr>
          <w:rFonts w:ascii="Arial" w:hAnsi="Arial" w:cs="Arial"/>
          <w:sz w:val="28"/>
          <w:szCs w:val="28"/>
        </w:rPr>
        <w:t>У</w:t>
      </w:r>
      <w:r w:rsidRPr="003851F0">
        <w:rPr>
          <w:rFonts w:ascii="Arial" w:hAnsi="Arial" w:cs="Arial"/>
          <w:sz w:val="28"/>
          <w:szCs w:val="28"/>
        </w:rPr>
        <w:t xml:space="preserve"> другому модулі розглядаються методологічні підходи до вибору  адаптаційних заходів на основі аналізу існуючих та майбутніх  кліматичних ризиків та вразливості галузей економіки</w:t>
      </w:r>
      <w:r w:rsidRPr="003135A7">
        <w:rPr>
          <w:rFonts w:ascii="Arial" w:hAnsi="Arial" w:cs="Arial"/>
          <w:sz w:val="28"/>
          <w:szCs w:val="28"/>
        </w:rPr>
        <w:t xml:space="preserve"> та  сільського господарства окремих населених пунктів  з урахуванням сучасних проекцій кліматичних показників  на середньострокову та віддалену перспективу.  Вивчаються існуючі в світовій практиці адаптаційні підходи, заходи, які можуть  бути застосовані для впровадження в Україні. </w:t>
      </w:r>
    </w:p>
    <w:p w:rsidR="00911544" w:rsidRPr="003135A7" w:rsidRDefault="00911544" w:rsidP="00911544">
      <w:pPr>
        <w:spacing w:after="0" w:line="240" w:lineRule="auto"/>
        <w:ind w:firstLine="709"/>
        <w:jc w:val="both"/>
        <w:rPr>
          <w:rFonts w:ascii="Arial" w:hAnsi="Arial" w:cs="Arial"/>
          <w:sz w:val="28"/>
          <w:szCs w:val="28"/>
        </w:rPr>
      </w:pPr>
      <w:r w:rsidRPr="003135A7">
        <w:rPr>
          <w:rFonts w:ascii="Arial" w:hAnsi="Arial" w:cs="Arial"/>
          <w:sz w:val="28"/>
          <w:szCs w:val="28"/>
        </w:rPr>
        <w:t>Студентам  надається можливість ознайомитись з найкращими світовими технологіями адаптації до змін клімату таких галузей, як сільське господарство та виробництво харчових продуктів, водні ресурси, енергетика, транспорт, охорона здоров’я, туризм, міське середовище, ліси  та ландшафти.</w:t>
      </w:r>
    </w:p>
    <w:p w:rsidR="00911544" w:rsidRPr="003135A7" w:rsidRDefault="00911544" w:rsidP="00911544">
      <w:pPr>
        <w:spacing w:after="0" w:line="240" w:lineRule="auto"/>
        <w:jc w:val="center"/>
        <w:rPr>
          <w:rFonts w:ascii="Arial" w:hAnsi="Arial" w:cs="Arial"/>
          <w:b/>
          <w:sz w:val="28"/>
          <w:szCs w:val="28"/>
        </w:rPr>
      </w:pPr>
    </w:p>
    <w:p w:rsidR="00911544" w:rsidRPr="003135A7" w:rsidRDefault="00911544" w:rsidP="00911544">
      <w:pPr>
        <w:spacing w:after="0" w:line="240" w:lineRule="auto"/>
        <w:jc w:val="center"/>
        <w:rPr>
          <w:rFonts w:ascii="Arial" w:hAnsi="Arial" w:cs="Arial"/>
          <w:b/>
          <w:sz w:val="28"/>
          <w:szCs w:val="28"/>
        </w:rPr>
      </w:pPr>
      <w:r w:rsidRPr="003135A7">
        <w:rPr>
          <w:rFonts w:ascii="Arial" w:hAnsi="Arial" w:cs="Arial"/>
          <w:b/>
          <w:sz w:val="28"/>
          <w:szCs w:val="28"/>
        </w:rPr>
        <w:t>Теми лекцій:</w:t>
      </w:r>
    </w:p>
    <w:p w:rsidR="00911544" w:rsidRPr="003135A7" w:rsidRDefault="00911544" w:rsidP="00911544">
      <w:pPr>
        <w:spacing w:after="0" w:line="240" w:lineRule="auto"/>
        <w:ind w:firstLine="709"/>
        <w:jc w:val="both"/>
        <w:rPr>
          <w:rFonts w:ascii="Arial" w:hAnsi="Arial" w:cs="Arial"/>
          <w:sz w:val="28"/>
          <w:szCs w:val="28"/>
        </w:rPr>
      </w:pPr>
      <w:r w:rsidRPr="003135A7">
        <w:rPr>
          <w:rFonts w:ascii="Arial" w:hAnsi="Arial" w:cs="Arial"/>
          <w:sz w:val="28"/>
          <w:szCs w:val="28"/>
        </w:rPr>
        <w:t>1.</w:t>
      </w:r>
      <w:r>
        <w:rPr>
          <w:rFonts w:ascii="Arial" w:hAnsi="Arial" w:cs="Arial"/>
          <w:sz w:val="28"/>
          <w:szCs w:val="28"/>
        </w:rPr>
        <w:t xml:space="preserve"> </w:t>
      </w:r>
      <w:r w:rsidRPr="003135A7">
        <w:rPr>
          <w:rFonts w:ascii="Arial" w:hAnsi="Arial" w:cs="Arial"/>
          <w:sz w:val="28"/>
          <w:szCs w:val="28"/>
        </w:rPr>
        <w:t>Зміни клімату та  кліматичні ризики для економіки України.</w:t>
      </w:r>
    </w:p>
    <w:p w:rsidR="00911544" w:rsidRPr="003135A7" w:rsidRDefault="00911544" w:rsidP="00911544">
      <w:pPr>
        <w:spacing w:after="0" w:line="240" w:lineRule="auto"/>
        <w:ind w:firstLine="709"/>
        <w:jc w:val="both"/>
        <w:rPr>
          <w:rFonts w:ascii="Arial" w:hAnsi="Arial" w:cs="Arial"/>
          <w:sz w:val="28"/>
          <w:szCs w:val="28"/>
        </w:rPr>
      </w:pPr>
      <w:r w:rsidRPr="003135A7">
        <w:rPr>
          <w:rFonts w:ascii="Arial" w:hAnsi="Arial" w:cs="Arial"/>
          <w:sz w:val="28"/>
          <w:szCs w:val="28"/>
        </w:rPr>
        <w:t>2. Науково-теоретичні адаптації до зміни клімату.</w:t>
      </w:r>
    </w:p>
    <w:p w:rsidR="00911544" w:rsidRPr="003135A7" w:rsidRDefault="00911544" w:rsidP="00911544">
      <w:pPr>
        <w:spacing w:after="0" w:line="240" w:lineRule="auto"/>
        <w:ind w:firstLine="709"/>
        <w:jc w:val="both"/>
        <w:rPr>
          <w:rFonts w:ascii="Arial" w:hAnsi="Arial" w:cs="Arial"/>
          <w:sz w:val="28"/>
          <w:szCs w:val="28"/>
        </w:rPr>
      </w:pPr>
      <w:r w:rsidRPr="003135A7">
        <w:rPr>
          <w:rFonts w:ascii="Arial" w:hAnsi="Arial" w:cs="Arial"/>
          <w:sz w:val="28"/>
          <w:szCs w:val="28"/>
        </w:rPr>
        <w:t>3. Методологічні основи розробки адаптаційних заходів.</w:t>
      </w:r>
    </w:p>
    <w:p w:rsidR="00911544" w:rsidRPr="003135A7" w:rsidRDefault="00911544" w:rsidP="00911544">
      <w:pPr>
        <w:spacing w:after="0" w:line="240" w:lineRule="auto"/>
        <w:ind w:firstLine="709"/>
        <w:jc w:val="both"/>
        <w:rPr>
          <w:rFonts w:ascii="Arial" w:hAnsi="Arial" w:cs="Arial"/>
          <w:sz w:val="28"/>
          <w:szCs w:val="28"/>
        </w:rPr>
      </w:pPr>
      <w:r w:rsidRPr="003135A7">
        <w:rPr>
          <w:rFonts w:ascii="Arial" w:hAnsi="Arial" w:cs="Arial"/>
          <w:sz w:val="28"/>
          <w:szCs w:val="28"/>
        </w:rPr>
        <w:lastRenderedPageBreak/>
        <w:t>4. Аналіз існуючих і майбутніх ризиків  від зміни клімату для економіки та суспільства.</w:t>
      </w:r>
    </w:p>
    <w:p w:rsidR="00911544" w:rsidRPr="003135A7" w:rsidRDefault="00911544" w:rsidP="00911544">
      <w:pPr>
        <w:spacing w:after="0" w:line="240" w:lineRule="auto"/>
        <w:ind w:firstLine="709"/>
        <w:jc w:val="both"/>
        <w:rPr>
          <w:rFonts w:ascii="Arial" w:hAnsi="Arial" w:cs="Arial"/>
          <w:sz w:val="28"/>
          <w:szCs w:val="28"/>
        </w:rPr>
      </w:pPr>
      <w:r w:rsidRPr="003135A7">
        <w:rPr>
          <w:rFonts w:ascii="Arial" w:hAnsi="Arial" w:cs="Arial"/>
          <w:sz w:val="28"/>
          <w:szCs w:val="28"/>
        </w:rPr>
        <w:t>5. Технології адаптації: загальний огляд.</w:t>
      </w:r>
    </w:p>
    <w:p w:rsidR="00911544" w:rsidRPr="003135A7" w:rsidRDefault="00911544" w:rsidP="00911544">
      <w:pPr>
        <w:spacing w:after="0" w:line="240" w:lineRule="auto"/>
        <w:ind w:firstLine="709"/>
        <w:jc w:val="both"/>
        <w:rPr>
          <w:rFonts w:ascii="Arial" w:hAnsi="Arial" w:cs="Arial"/>
          <w:sz w:val="28"/>
          <w:szCs w:val="28"/>
        </w:rPr>
      </w:pPr>
      <w:r w:rsidRPr="003135A7">
        <w:rPr>
          <w:rFonts w:ascii="Arial" w:hAnsi="Arial" w:cs="Arial"/>
          <w:sz w:val="28"/>
          <w:szCs w:val="28"/>
        </w:rPr>
        <w:t>6. Технології адаптації сільського, лісового та водного господарства.</w:t>
      </w:r>
    </w:p>
    <w:p w:rsidR="00911544" w:rsidRPr="003135A7" w:rsidRDefault="00911544" w:rsidP="00911544">
      <w:pPr>
        <w:spacing w:after="0" w:line="240" w:lineRule="auto"/>
        <w:ind w:firstLine="709"/>
        <w:jc w:val="both"/>
        <w:rPr>
          <w:rFonts w:ascii="Arial" w:hAnsi="Arial" w:cs="Arial"/>
          <w:sz w:val="28"/>
          <w:szCs w:val="28"/>
        </w:rPr>
      </w:pPr>
      <w:r w:rsidRPr="003135A7">
        <w:rPr>
          <w:rFonts w:ascii="Arial" w:hAnsi="Arial" w:cs="Arial"/>
          <w:sz w:val="28"/>
          <w:szCs w:val="28"/>
        </w:rPr>
        <w:t xml:space="preserve">7. Технології та адаптації  сектору охорони </w:t>
      </w:r>
      <w:proofErr w:type="spellStart"/>
      <w:r w:rsidRPr="003135A7">
        <w:rPr>
          <w:rFonts w:ascii="Arial" w:hAnsi="Arial" w:cs="Arial"/>
          <w:sz w:val="28"/>
          <w:szCs w:val="28"/>
        </w:rPr>
        <w:t>здоров</w:t>
      </w:r>
      <w:proofErr w:type="spellEnd"/>
      <w:r w:rsidRPr="003135A7">
        <w:rPr>
          <w:rFonts w:ascii="Arial" w:hAnsi="Arial" w:cs="Arial"/>
          <w:sz w:val="28"/>
          <w:szCs w:val="28"/>
          <w:lang w:val="ru-RU"/>
        </w:rPr>
        <w:t>’</w:t>
      </w:r>
      <w:r w:rsidRPr="003135A7">
        <w:rPr>
          <w:rFonts w:ascii="Arial" w:hAnsi="Arial" w:cs="Arial"/>
          <w:sz w:val="28"/>
          <w:szCs w:val="28"/>
        </w:rPr>
        <w:t>я, туризму, соціальних систем, громад та комунальних служб.</w:t>
      </w:r>
    </w:p>
    <w:p w:rsidR="00911544" w:rsidRPr="003135A7" w:rsidRDefault="00911544" w:rsidP="00911544">
      <w:pPr>
        <w:spacing w:after="0" w:line="240" w:lineRule="auto"/>
        <w:ind w:firstLine="709"/>
        <w:jc w:val="both"/>
        <w:rPr>
          <w:rFonts w:ascii="Arial" w:hAnsi="Arial" w:cs="Arial"/>
          <w:sz w:val="28"/>
          <w:szCs w:val="28"/>
        </w:rPr>
      </w:pPr>
      <w:r w:rsidRPr="003135A7">
        <w:rPr>
          <w:rFonts w:ascii="Arial" w:hAnsi="Arial" w:cs="Arial"/>
          <w:sz w:val="28"/>
          <w:szCs w:val="28"/>
        </w:rPr>
        <w:t>8. Принципи та етапи підготовки адаптаційних заходів.</w:t>
      </w:r>
    </w:p>
    <w:p w:rsidR="00911544" w:rsidRPr="003135A7" w:rsidRDefault="00911544" w:rsidP="00911544">
      <w:pPr>
        <w:spacing w:after="0" w:line="240" w:lineRule="auto"/>
        <w:rPr>
          <w:rFonts w:ascii="Arial" w:hAnsi="Arial" w:cs="Arial"/>
          <w:sz w:val="28"/>
          <w:szCs w:val="28"/>
        </w:rPr>
      </w:pPr>
    </w:p>
    <w:p w:rsidR="00911544" w:rsidRPr="003135A7" w:rsidRDefault="00911544" w:rsidP="00911544">
      <w:pPr>
        <w:spacing w:after="0" w:line="240" w:lineRule="auto"/>
        <w:jc w:val="center"/>
        <w:rPr>
          <w:rFonts w:ascii="Arial" w:hAnsi="Arial" w:cs="Arial"/>
          <w:b/>
          <w:sz w:val="28"/>
          <w:szCs w:val="28"/>
        </w:rPr>
      </w:pPr>
      <w:r w:rsidRPr="003135A7">
        <w:rPr>
          <w:rFonts w:ascii="Arial" w:hAnsi="Arial" w:cs="Arial"/>
          <w:b/>
          <w:sz w:val="28"/>
          <w:szCs w:val="28"/>
        </w:rPr>
        <w:t>Теми занять:</w:t>
      </w:r>
    </w:p>
    <w:p w:rsidR="00911544" w:rsidRPr="003135A7" w:rsidRDefault="00911544" w:rsidP="00911544">
      <w:pPr>
        <w:spacing w:after="0" w:line="240" w:lineRule="auto"/>
        <w:jc w:val="center"/>
        <w:rPr>
          <w:rFonts w:ascii="Arial" w:hAnsi="Arial" w:cs="Arial"/>
          <w:b/>
          <w:i/>
          <w:sz w:val="28"/>
          <w:szCs w:val="28"/>
        </w:rPr>
      </w:pPr>
      <w:r w:rsidRPr="003135A7">
        <w:rPr>
          <w:rFonts w:ascii="Arial" w:hAnsi="Arial" w:cs="Arial"/>
          <w:b/>
          <w:i/>
          <w:sz w:val="28"/>
          <w:szCs w:val="28"/>
        </w:rPr>
        <w:t xml:space="preserve">(семінарських, практичних, лабораторних) </w:t>
      </w:r>
    </w:p>
    <w:p w:rsidR="00911544" w:rsidRPr="008C2B19" w:rsidRDefault="00911544" w:rsidP="00911544">
      <w:pPr>
        <w:pStyle w:val="a3"/>
        <w:numPr>
          <w:ilvl w:val="0"/>
          <w:numId w:val="1"/>
        </w:numPr>
        <w:tabs>
          <w:tab w:val="left" w:pos="1134"/>
        </w:tabs>
        <w:spacing w:after="0" w:line="240" w:lineRule="auto"/>
        <w:ind w:left="0" w:firstLine="709"/>
        <w:jc w:val="both"/>
        <w:rPr>
          <w:rFonts w:ascii="Arial" w:hAnsi="Arial" w:cs="Arial"/>
          <w:sz w:val="28"/>
          <w:szCs w:val="28"/>
        </w:rPr>
      </w:pPr>
      <w:r w:rsidRPr="008C2B19">
        <w:rPr>
          <w:rFonts w:ascii="Arial" w:hAnsi="Arial" w:cs="Arial"/>
          <w:sz w:val="28"/>
          <w:szCs w:val="28"/>
        </w:rPr>
        <w:t>Регіональні особливості прояву зміни клімату на території України.</w:t>
      </w:r>
    </w:p>
    <w:p w:rsidR="00911544" w:rsidRPr="008C2B19" w:rsidRDefault="00911544" w:rsidP="00911544">
      <w:pPr>
        <w:pStyle w:val="a3"/>
        <w:numPr>
          <w:ilvl w:val="0"/>
          <w:numId w:val="1"/>
        </w:numPr>
        <w:tabs>
          <w:tab w:val="left" w:pos="1134"/>
        </w:tabs>
        <w:spacing w:after="0" w:line="240" w:lineRule="auto"/>
        <w:ind w:left="0" w:firstLine="709"/>
        <w:jc w:val="both"/>
        <w:rPr>
          <w:rFonts w:ascii="Arial" w:hAnsi="Arial" w:cs="Arial"/>
          <w:sz w:val="28"/>
          <w:szCs w:val="28"/>
        </w:rPr>
      </w:pPr>
      <w:r w:rsidRPr="008C2B19">
        <w:rPr>
          <w:rFonts w:ascii="Arial" w:hAnsi="Arial" w:cs="Arial"/>
          <w:sz w:val="28"/>
          <w:szCs w:val="28"/>
        </w:rPr>
        <w:t>Класифікація видів адаптації, організаційна структура суб’єктів державної адаптаційної політики в Україні.</w:t>
      </w:r>
    </w:p>
    <w:p w:rsidR="00911544" w:rsidRPr="008C2B19" w:rsidRDefault="00911544" w:rsidP="00911544">
      <w:pPr>
        <w:pStyle w:val="a3"/>
        <w:numPr>
          <w:ilvl w:val="0"/>
          <w:numId w:val="1"/>
        </w:numPr>
        <w:tabs>
          <w:tab w:val="left" w:pos="1134"/>
        </w:tabs>
        <w:spacing w:after="0" w:line="240" w:lineRule="auto"/>
        <w:ind w:left="0" w:firstLine="709"/>
        <w:jc w:val="both"/>
        <w:rPr>
          <w:rFonts w:ascii="Arial" w:hAnsi="Arial" w:cs="Arial"/>
          <w:sz w:val="28"/>
          <w:szCs w:val="28"/>
        </w:rPr>
      </w:pPr>
      <w:r w:rsidRPr="008C2B19">
        <w:rPr>
          <w:rFonts w:ascii="Arial" w:hAnsi="Arial" w:cs="Arial"/>
          <w:sz w:val="28"/>
          <w:szCs w:val="28"/>
        </w:rPr>
        <w:t>Критерії та індикатори для оцінки адаптаційних заходів.</w:t>
      </w:r>
    </w:p>
    <w:p w:rsidR="00911544" w:rsidRPr="008C2B19" w:rsidRDefault="00911544" w:rsidP="00911544">
      <w:pPr>
        <w:pStyle w:val="a3"/>
        <w:numPr>
          <w:ilvl w:val="0"/>
          <w:numId w:val="1"/>
        </w:numPr>
        <w:tabs>
          <w:tab w:val="left" w:pos="1134"/>
        </w:tabs>
        <w:spacing w:after="0" w:line="240" w:lineRule="auto"/>
        <w:ind w:left="0" w:firstLine="709"/>
        <w:jc w:val="both"/>
        <w:rPr>
          <w:rFonts w:ascii="Arial" w:hAnsi="Arial" w:cs="Arial"/>
          <w:sz w:val="28"/>
          <w:szCs w:val="28"/>
        </w:rPr>
      </w:pPr>
      <w:r w:rsidRPr="008C2B19">
        <w:rPr>
          <w:rFonts w:ascii="Arial" w:hAnsi="Arial" w:cs="Arial"/>
          <w:sz w:val="28"/>
          <w:szCs w:val="28"/>
        </w:rPr>
        <w:t>Існуючі та майбутні кліматичні ризики для економіки.</w:t>
      </w:r>
    </w:p>
    <w:p w:rsidR="00911544" w:rsidRPr="008C2B19" w:rsidRDefault="00911544" w:rsidP="00911544">
      <w:pPr>
        <w:pStyle w:val="a3"/>
        <w:numPr>
          <w:ilvl w:val="0"/>
          <w:numId w:val="1"/>
        </w:numPr>
        <w:tabs>
          <w:tab w:val="left" w:pos="1134"/>
        </w:tabs>
        <w:spacing w:after="0" w:line="240" w:lineRule="auto"/>
        <w:ind w:left="0" w:firstLine="709"/>
        <w:jc w:val="both"/>
        <w:rPr>
          <w:rFonts w:ascii="Arial" w:hAnsi="Arial" w:cs="Arial"/>
          <w:sz w:val="28"/>
          <w:szCs w:val="28"/>
        </w:rPr>
      </w:pPr>
      <w:r w:rsidRPr="008C2B19">
        <w:rPr>
          <w:rFonts w:ascii="Arial" w:hAnsi="Arial" w:cs="Arial"/>
          <w:sz w:val="28"/>
          <w:szCs w:val="28"/>
        </w:rPr>
        <w:t>Стратегія та план адаптації.</w:t>
      </w:r>
    </w:p>
    <w:p w:rsidR="00911544" w:rsidRPr="008C2B19" w:rsidRDefault="00911544" w:rsidP="00911544">
      <w:pPr>
        <w:pStyle w:val="a3"/>
        <w:numPr>
          <w:ilvl w:val="0"/>
          <w:numId w:val="1"/>
        </w:numPr>
        <w:tabs>
          <w:tab w:val="left" w:pos="1134"/>
        </w:tabs>
        <w:spacing w:after="0" w:line="240" w:lineRule="auto"/>
        <w:ind w:left="0" w:firstLine="709"/>
        <w:jc w:val="both"/>
        <w:rPr>
          <w:rFonts w:ascii="Arial" w:hAnsi="Arial" w:cs="Arial"/>
          <w:sz w:val="28"/>
          <w:szCs w:val="28"/>
        </w:rPr>
      </w:pPr>
      <w:r w:rsidRPr="008C2B19">
        <w:rPr>
          <w:rFonts w:ascii="Arial" w:hAnsi="Arial" w:cs="Arial"/>
          <w:sz w:val="28"/>
          <w:szCs w:val="28"/>
        </w:rPr>
        <w:t>Технології адаптації: кліматично-орієнтоване зрошування, крапельне зрошування, агролісомеліоративні заходи. Технології пом’якшення впливу паводків та засух, повторне використання води.</w:t>
      </w:r>
    </w:p>
    <w:p w:rsidR="00911544" w:rsidRPr="008C2B19" w:rsidRDefault="00911544" w:rsidP="00911544">
      <w:pPr>
        <w:pStyle w:val="a3"/>
        <w:numPr>
          <w:ilvl w:val="0"/>
          <w:numId w:val="1"/>
        </w:numPr>
        <w:tabs>
          <w:tab w:val="left" w:pos="1134"/>
        </w:tabs>
        <w:spacing w:after="0" w:line="240" w:lineRule="auto"/>
        <w:ind w:left="0" w:firstLine="709"/>
        <w:jc w:val="both"/>
        <w:rPr>
          <w:rFonts w:ascii="Arial" w:hAnsi="Arial" w:cs="Arial"/>
          <w:sz w:val="28"/>
          <w:szCs w:val="28"/>
        </w:rPr>
      </w:pPr>
      <w:r w:rsidRPr="008C2B19">
        <w:rPr>
          <w:rFonts w:ascii="Arial" w:hAnsi="Arial" w:cs="Arial"/>
          <w:sz w:val="28"/>
          <w:szCs w:val="28"/>
        </w:rPr>
        <w:t>Технологічні заходи адаптації: виготовлення штучного снігу, оконтурювання схилів, збір дощової води та створення систем повторного водокористування, дизайн будинків, стійких до екстремальних погодних впливів.</w:t>
      </w:r>
    </w:p>
    <w:p w:rsidR="00911544" w:rsidRPr="008C2B19" w:rsidRDefault="00911544" w:rsidP="00911544">
      <w:pPr>
        <w:pStyle w:val="a3"/>
        <w:numPr>
          <w:ilvl w:val="0"/>
          <w:numId w:val="1"/>
        </w:numPr>
        <w:tabs>
          <w:tab w:val="left" w:pos="1134"/>
        </w:tabs>
        <w:spacing w:after="0" w:line="240" w:lineRule="auto"/>
        <w:ind w:left="0" w:firstLine="709"/>
        <w:jc w:val="both"/>
        <w:rPr>
          <w:rFonts w:ascii="Arial" w:hAnsi="Arial" w:cs="Arial"/>
          <w:sz w:val="28"/>
          <w:szCs w:val="28"/>
        </w:rPr>
      </w:pPr>
      <w:r w:rsidRPr="008C2B19">
        <w:rPr>
          <w:rFonts w:ascii="Arial" w:hAnsi="Arial" w:cs="Arial"/>
          <w:sz w:val="28"/>
          <w:szCs w:val="28"/>
        </w:rPr>
        <w:t>Аналіз пріоритетів розвитку державної політики регіонального/місцевого розвитку.</w:t>
      </w:r>
    </w:p>
    <w:p w:rsidR="0008511A" w:rsidRDefault="0008511A" w:rsidP="00911544">
      <w:pPr>
        <w:spacing w:after="0" w:line="240" w:lineRule="auto"/>
      </w:pPr>
    </w:p>
    <w:sectPr w:rsidR="0008511A" w:rsidSect="009115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17A3A"/>
    <w:multiLevelType w:val="hybridMultilevel"/>
    <w:tmpl w:val="B5A4C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A8"/>
    <w:rsid w:val="0008511A"/>
    <w:rsid w:val="0043173D"/>
    <w:rsid w:val="00911544"/>
    <w:rsid w:val="00F86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9463"/>
  <w15:chartTrackingRefBased/>
  <w15:docId w15:val="{B397AD24-7ACC-4665-92FE-9FEFA933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54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544"/>
    <w:pPr>
      <w:spacing w:after="200" w:line="276" w:lineRule="auto"/>
      <w:ind w:left="720"/>
      <w:contextualSpacing/>
    </w:pPr>
  </w:style>
  <w:style w:type="table" w:customStyle="1" w:styleId="2">
    <w:name w:val="Сетка таблицы2"/>
    <w:basedOn w:val="a1"/>
    <w:next w:val="a4"/>
    <w:uiPriority w:val="39"/>
    <w:rsid w:val="0091154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911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2020-10-13T09:44:00Z</dcterms:created>
  <dcterms:modified xsi:type="dcterms:W3CDTF">2020-10-16T08:00:00Z</dcterms:modified>
</cp:coreProperties>
</file>