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52B" w:rsidRDefault="00244E85" w:rsidP="00661364">
      <w:pPr>
        <w:spacing w:after="0" w:line="240" w:lineRule="auto"/>
        <w:jc w:val="center"/>
        <w:rPr>
          <w:rFonts w:ascii="Times New Roman" w:hAnsi="Times New Roman"/>
          <w:sz w:val="28"/>
          <w:szCs w:val="28"/>
        </w:rPr>
      </w:pPr>
      <w:r>
        <w:rPr>
          <w:rFonts w:ascii="Times New Roman" w:hAnsi="Times New Roman" w:cs="Times New Roman"/>
          <w:b/>
          <w:sz w:val="28"/>
          <w:szCs w:val="28"/>
        </w:rPr>
        <w:t>ЛОБІЗМ У ПРАВІ</w:t>
      </w:r>
    </w:p>
    <w:p w:rsidR="006E152B" w:rsidRDefault="006E152B" w:rsidP="00661364">
      <w:pPr>
        <w:spacing w:after="0" w:line="240" w:lineRule="auto"/>
        <w:jc w:val="center"/>
        <w:rPr>
          <w:rFonts w:ascii="Times New Roman" w:hAnsi="Times New Roman" w:cs="Times New Roman"/>
          <w:b/>
          <w:sz w:val="28"/>
          <w:szCs w:val="28"/>
        </w:rPr>
      </w:pPr>
    </w:p>
    <w:p w:rsidR="006E152B" w:rsidRDefault="00244E85" w:rsidP="00661364">
      <w:pPr>
        <w:spacing w:after="0" w:line="240" w:lineRule="auto"/>
        <w:jc w:val="center"/>
        <w:rPr>
          <w:rFonts w:ascii="Times New Roman" w:hAnsi="Times New Roman"/>
          <w:sz w:val="28"/>
          <w:szCs w:val="28"/>
        </w:rPr>
      </w:pPr>
      <w:r>
        <w:rPr>
          <w:rFonts w:ascii="Times New Roman" w:hAnsi="Times New Roman" w:cs="Times New Roman"/>
          <w:b/>
          <w:sz w:val="28"/>
          <w:szCs w:val="28"/>
        </w:rPr>
        <w:t>Кафедра теорії та історії держави і права</w:t>
      </w:r>
    </w:p>
    <w:p w:rsidR="006E152B" w:rsidRDefault="00244E85" w:rsidP="00661364">
      <w:pPr>
        <w:spacing w:after="0" w:line="240" w:lineRule="auto"/>
        <w:jc w:val="center"/>
        <w:rPr>
          <w:rFonts w:ascii="Times New Roman" w:hAnsi="Times New Roman"/>
          <w:sz w:val="28"/>
          <w:szCs w:val="28"/>
        </w:rPr>
      </w:pPr>
      <w:bookmarkStart w:id="0" w:name="_GoBack"/>
      <w:bookmarkEnd w:id="0"/>
      <w:r>
        <w:rPr>
          <w:rFonts w:ascii="Times New Roman" w:hAnsi="Times New Roman" w:cs="Times New Roman"/>
          <w:b/>
          <w:sz w:val="28"/>
          <w:szCs w:val="28"/>
        </w:rPr>
        <w:t>Юридичний факультет</w:t>
      </w:r>
    </w:p>
    <w:p w:rsidR="006E152B" w:rsidRDefault="006E152B" w:rsidP="00661364">
      <w:pPr>
        <w:spacing w:after="0" w:line="240" w:lineRule="auto"/>
        <w:jc w:val="center"/>
        <w:rPr>
          <w:rFonts w:ascii="Times New Roman" w:hAnsi="Times New Roman" w:cs="Times New Roman"/>
          <w:b/>
          <w:sz w:val="28"/>
          <w:szCs w:val="28"/>
        </w:rPr>
      </w:pPr>
    </w:p>
    <w:tbl>
      <w:tblPr>
        <w:tblStyle w:val="a9"/>
        <w:tblW w:w="9629" w:type="dxa"/>
        <w:tblLook w:val="04A0" w:firstRow="1" w:lastRow="0" w:firstColumn="1" w:lastColumn="0" w:noHBand="0" w:noVBand="1"/>
      </w:tblPr>
      <w:tblGrid>
        <w:gridCol w:w="3685"/>
        <w:gridCol w:w="5944"/>
      </w:tblGrid>
      <w:tr w:rsidR="006E152B">
        <w:tc>
          <w:tcPr>
            <w:tcW w:w="3685" w:type="dxa"/>
            <w:tcBorders>
              <w:top w:val="nil"/>
              <w:left w:val="nil"/>
              <w:bottom w:val="nil"/>
              <w:right w:val="nil"/>
            </w:tcBorders>
            <w:shd w:val="clear" w:color="auto" w:fill="auto"/>
            <w:vAlign w:val="center"/>
          </w:tcPr>
          <w:p w:rsidR="006E152B" w:rsidRDefault="00244E85" w:rsidP="00661364">
            <w:pPr>
              <w:spacing w:after="0"/>
              <w:rPr>
                <w:rFonts w:ascii="Times New Roman" w:hAnsi="Times New Roman" w:cs="Times New Roman"/>
                <w:b/>
                <w:i/>
                <w:sz w:val="24"/>
                <w:szCs w:val="24"/>
              </w:rPr>
            </w:pPr>
            <w:r>
              <w:rPr>
                <w:rFonts w:ascii="Times New Roman" w:hAnsi="Times New Roman" w:cs="Times New Roman"/>
                <w:b/>
                <w:i/>
                <w:sz w:val="28"/>
                <w:szCs w:val="28"/>
              </w:rPr>
              <w:t>Лектор</w:t>
            </w:r>
          </w:p>
        </w:tc>
        <w:tc>
          <w:tcPr>
            <w:tcW w:w="5943" w:type="dxa"/>
            <w:tcBorders>
              <w:top w:val="nil"/>
              <w:left w:val="nil"/>
              <w:bottom w:val="nil"/>
              <w:right w:val="nil"/>
            </w:tcBorders>
            <w:shd w:val="clear" w:color="auto" w:fill="auto"/>
            <w:vAlign w:val="center"/>
          </w:tcPr>
          <w:p w:rsidR="006E152B" w:rsidRDefault="00244E85" w:rsidP="00244E85">
            <w:pPr>
              <w:spacing w:after="0"/>
              <w:rPr>
                <w:rFonts w:ascii="Times New Roman" w:hAnsi="Times New Roman" w:cs="Times New Roman"/>
                <w:b/>
                <w:sz w:val="28"/>
                <w:szCs w:val="28"/>
              </w:rPr>
            </w:pPr>
            <w:proofErr w:type="spellStart"/>
            <w:r>
              <w:rPr>
                <w:rFonts w:ascii="Times New Roman" w:hAnsi="Times New Roman" w:cs="Times New Roman"/>
                <w:b/>
                <w:sz w:val="28"/>
                <w:szCs w:val="28"/>
              </w:rPr>
              <w:t>Чомахашвілі</w:t>
            </w:r>
            <w:proofErr w:type="spellEnd"/>
            <w:r>
              <w:rPr>
                <w:rFonts w:ascii="Times New Roman" w:hAnsi="Times New Roman" w:cs="Times New Roman"/>
                <w:b/>
                <w:sz w:val="28"/>
                <w:szCs w:val="28"/>
              </w:rPr>
              <w:t xml:space="preserve"> Олена </w:t>
            </w:r>
            <w:proofErr w:type="spellStart"/>
            <w:r>
              <w:rPr>
                <w:rFonts w:ascii="Times New Roman" w:hAnsi="Times New Roman" w:cs="Times New Roman"/>
                <w:b/>
                <w:sz w:val="28"/>
                <w:szCs w:val="28"/>
              </w:rPr>
              <w:t>Шотаєвна</w:t>
            </w:r>
            <w:proofErr w:type="spellEnd"/>
          </w:p>
        </w:tc>
      </w:tr>
      <w:tr w:rsidR="006E152B">
        <w:tc>
          <w:tcPr>
            <w:tcW w:w="3685" w:type="dxa"/>
            <w:tcBorders>
              <w:top w:val="nil"/>
              <w:left w:val="nil"/>
              <w:bottom w:val="nil"/>
              <w:right w:val="nil"/>
            </w:tcBorders>
            <w:shd w:val="clear" w:color="auto" w:fill="auto"/>
            <w:vAlign w:val="center"/>
          </w:tcPr>
          <w:p w:rsidR="006E152B" w:rsidRDefault="00244E85" w:rsidP="00661364">
            <w:pPr>
              <w:spacing w:after="0"/>
              <w:rPr>
                <w:rFonts w:ascii="Times New Roman" w:hAnsi="Times New Roman" w:cs="Times New Roman"/>
                <w:b/>
                <w:i/>
                <w:sz w:val="24"/>
                <w:szCs w:val="24"/>
              </w:rPr>
            </w:pPr>
            <w:r>
              <w:rPr>
                <w:rFonts w:ascii="Times New Roman" w:hAnsi="Times New Roman" w:cs="Times New Roman"/>
                <w:b/>
                <w:i/>
                <w:sz w:val="28"/>
                <w:szCs w:val="28"/>
              </w:rPr>
              <w:t>Семестр</w:t>
            </w:r>
          </w:p>
        </w:tc>
        <w:tc>
          <w:tcPr>
            <w:tcW w:w="5943" w:type="dxa"/>
            <w:tcBorders>
              <w:top w:val="nil"/>
              <w:left w:val="nil"/>
              <w:bottom w:val="nil"/>
              <w:right w:val="nil"/>
            </w:tcBorders>
            <w:shd w:val="clear" w:color="auto" w:fill="auto"/>
            <w:vAlign w:val="center"/>
          </w:tcPr>
          <w:p w:rsidR="006E152B" w:rsidRDefault="00244E85" w:rsidP="00661364">
            <w:pPr>
              <w:spacing w:after="0"/>
              <w:rPr>
                <w:rFonts w:ascii="Times New Roman" w:hAnsi="Times New Roman" w:cs="Times New Roman"/>
                <w:b/>
                <w:sz w:val="24"/>
                <w:szCs w:val="24"/>
              </w:rPr>
            </w:pPr>
            <w:r>
              <w:rPr>
                <w:rFonts w:ascii="Times New Roman" w:hAnsi="Times New Roman" w:cs="Times New Roman"/>
                <w:b/>
                <w:sz w:val="28"/>
                <w:szCs w:val="28"/>
              </w:rPr>
              <w:t>7</w:t>
            </w:r>
          </w:p>
        </w:tc>
      </w:tr>
      <w:tr w:rsidR="006E152B">
        <w:tc>
          <w:tcPr>
            <w:tcW w:w="3685" w:type="dxa"/>
            <w:tcBorders>
              <w:top w:val="nil"/>
              <w:left w:val="nil"/>
              <w:bottom w:val="nil"/>
              <w:right w:val="nil"/>
            </w:tcBorders>
            <w:shd w:val="clear" w:color="auto" w:fill="auto"/>
            <w:vAlign w:val="center"/>
          </w:tcPr>
          <w:p w:rsidR="006E152B" w:rsidRDefault="00244E85" w:rsidP="00661364">
            <w:pPr>
              <w:spacing w:after="0"/>
              <w:rPr>
                <w:rFonts w:ascii="Times New Roman" w:hAnsi="Times New Roman" w:cs="Times New Roman"/>
                <w:b/>
                <w:i/>
                <w:sz w:val="24"/>
                <w:szCs w:val="24"/>
              </w:rPr>
            </w:pPr>
            <w:r>
              <w:rPr>
                <w:rFonts w:ascii="Times New Roman" w:hAnsi="Times New Roman" w:cs="Times New Roman"/>
                <w:b/>
                <w:i/>
                <w:sz w:val="28"/>
                <w:szCs w:val="28"/>
              </w:rPr>
              <w:t>Освітній ступінь</w:t>
            </w:r>
          </w:p>
        </w:tc>
        <w:tc>
          <w:tcPr>
            <w:tcW w:w="5943" w:type="dxa"/>
            <w:tcBorders>
              <w:top w:val="nil"/>
              <w:left w:val="nil"/>
              <w:bottom w:val="nil"/>
              <w:right w:val="nil"/>
            </w:tcBorders>
            <w:shd w:val="clear" w:color="auto" w:fill="auto"/>
            <w:vAlign w:val="center"/>
          </w:tcPr>
          <w:p w:rsidR="006E152B" w:rsidRDefault="00244E85" w:rsidP="00661364">
            <w:pPr>
              <w:spacing w:after="0"/>
              <w:rPr>
                <w:rFonts w:ascii="Times New Roman" w:hAnsi="Times New Roman" w:cs="Times New Roman"/>
                <w:b/>
                <w:sz w:val="24"/>
                <w:szCs w:val="24"/>
              </w:rPr>
            </w:pPr>
            <w:r>
              <w:rPr>
                <w:rFonts w:ascii="Times New Roman" w:hAnsi="Times New Roman" w:cs="Times New Roman"/>
                <w:b/>
                <w:sz w:val="28"/>
                <w:szCs w:val="28"/>
              </w:rPr>
              <w:t>Бакалавр</w:t>
            </w:r>
          </w:p>
        </w:tc>
      </w:tr>
      <w:tr w:rsidR="006E152B">
        <w:tc>
          <w:tcPr>
            <w:tcW w:w="3685" w:type="dxa"/>
            <w:tcBorders>
              <w:top w:val="nil"/>
              <w:left w:val="nil"/>
              <w:bottom w:val="nil"/>
              <w:right w:val="nil"/>
            </w:tcBorders>
            <w:shd w:val="clear" w:color="auto" w:fill="auto"/>
            <w:vAlign w:val="center"/>
          </w:tcPr>
          <w:p w:rsidR="006E152B" w:rsidRDefault="00244E85" w:rsidP="00661364">
            <w:pPr>
              <w:spacing w:after="0"/>
              <w:rPr>
                <w:rFonts w:ascii="Times New Roman" w:hAnsi="Times New Roman" w:cs="Times New Roman"/>
                <w:b/>
                <w:i/>
                <w:sz w:val="24"/>
                <w:szCs w:val="24"/>
              </w:rPr>
            </w:pPr>
            <w:r>
              <w:rPr>
                <w:rFonts w:ascii="Times New Roman" w:hAnsi="Times New Roman" w:cs="Times New Roman"/>
                <w:b/>
                <w:i/>
                <w:sz w:val="28"/>
                <w:szCs w:val="28"/>
              </w:rPr>
              <w:t>Кількість кредитів ЄКТС</w:t>
            </w:r>
          </w:p>
        </w:tc>
        <w:tc>
          <w:tcPr>
            <w:tcW w:w="5943" w:type="dxa"/>
            <w:tcBorders>
              <w:top w:val="nil"/>
              <w:left w:val="nil"/>
              <w:bottom w:val="nil"/>
              <w:right w:val="nil"/>
            </w:tcBorders>
            <w:shd w:val="clear" w:color="auto" w:fill="auto"/>
            <w:vAlign w:val="center"/>
          </w:tcPr>
          <w:p w:rsidR="006E152B" w:rsidRDefault="00244E85" w:rsidP="00661364">
            <w:pPr>
              <w:spacing w:after="0"/>
              <w:rPr>
                <w:rFonts w:ascii="Times New Roman" w:hAnsi="Times New Roman" w:cs="Times New Roman"/>
                <w:b/>
                <w:sz w:val="24"/>
                <w:szCs w:val="24"/>
              </w:rPr>
            </w:pPr>
            <w:r>
              <w:rPr>
                <w:rFonts w:ascii="Times New Roman" w:hAnsi="Times New Roman" w:cs="Times New Roman"/>
                <w:b/>
                <w:sz w:val="28"/>
                <w:szCs w:val="28"/>
              </w:rPr>
              <w:t>3</w:t>
            </w:r>
          </w:p>
        </w:tc>
      </w:tr>
      <w:tr w:rsidR="006E152B">
        <w:tc>
          <w:tcPr>
            <w:tcW w:w="3685" w:type="dxa"/>
            <w:tcBorders>
              <w:top w:val="nil"/>
              <w:left w:val="nil"/>
              <w:bottom w:val="nil"/>
              <w:right w:val="nil"/>
            </w:tcBorders>
            <w:shd w:val="clear" w:color="auto" w:fill="auto"/>
            <w:vAlign w:val="center"/>
          </w:tcPr>
          <w:p w:rsidR="006E152B" w:rsidRDefault="00244E85" w:rsidP="00661364">
            <w:pPr>
              <w:spacing w:after="0"/>
              <w:rPr>
                <w:rFonts w:ascii="Times New Roman" w:hAnsi="Times New Roman" w:cs="Times New Roman"/>
                <w:b/>
                <w:i/>
                <w:sz w:val="24"/>
                <w:szCs w:val="24"/>
              </w:rPr>
            </w:pPr>
            <w:r>
              <w:rPr>
                <w:rFonts w:ascii="Times New Roman" w:hAnsi="Times New Roman" w:cs="Times New Roman"/>
                <w:b/>
                <w:i/>
                <w:sz w:val="28"/>
                <w:szCs w:val="28"/>
              </w:rPr>
              <w:t>Форма контролю</w:t>
            </w:r>
          </w:p>
        </w:tc>
        <w:tc>
          <w:tcPr>
            <w:tcW w:w="5943" w:type="dxa"/>
            <w:tcBorders>
              <w:top w:val="nil"/>
              <w:left w:val="nil"/>
              <w:bottom w:val="nil"/>
              <w:right w:val="nil"/>
            </w:tcBorders>
            <w:shd w:val="clear" w:color="auto" w:fill="auto"/>
            <w:vAlign w:val="center"/>
          </w:tcPr>
          <w:p w:rsidR="006E152B" w:rsidRDefault="00244E85" w:rsidP="00661364">
            <w:pPr>
              <w:spacing w:after="0"/>
              <w:rPr>
                <w:rFonts w:ascii="Times New Roman" w:hAnsi="Times New Roman" w:cs="Times New Roman"/>
                <w:b/>
                <w:sz w:val="24"/>
                <w:szCs w:val="24"/>
              </w:rPr>
            </w:pPr>
            <w:r>
              <w:rPr>
                <w:rFonts w:ascii="Times New Roman" w:hAnsi="Times New Roman" w:cs="Times New Roman"/>
                <w:b/>
                <w:sz w:val="28"/>
                <w:szCs w:val="28"/>
              </w:rPr>
              <w:t>Екзамен</w:t>
            </w:r>
          </w:p>
        </w:tc>
      </w:tr>
      <w:tr w:rsidR="006E152B">
        <w:tc>
          <w:tcPr>
            <w:tcW w:w="3685" w:type="dxa"/>
            <w:tcBorders>
              <w:top w:val="nil"/>
              <w:left w:val="nil"/>
              <w:bottom w:val="nil"/>
              <w:right w:val="nil"/>
            </w:tcBorders>
            <w:shd w:val="clear" w:color="auto" w:fill="auto"/>
            <w:vAlign w:val="center"/>
          </w:tcPr>
          <w:p w:rsidR="006E152B" w:rsidRDefault="00244E85" w:rsidP="00661364">
            <w:pPr>
              <w:spacing w:after="0"/>
              <w:rPr>
                <w:rFonts w:ascii="Times New Roman" w:hAnsi="Times New Roman" w:cs="Times New Roman"/>
                <w:b/>
                <w:i/>
                <w:sz w:val="24"/>
                <w:szCs w:val="24"/>
              </w:rPr>
            </w:pPr>
            <w:r>
              <w:rPr>
                <w:rFonts w:ascii="Times New Roman" w:hAnsi="Times New Roman" w:cs="Times New Roman"/>
                <w:b/>
                <w:i/>
                <w:sz w:val="28"/>
                <w:szCs w:val="28"/>
              </w:rPr>
              <w:t>Аудиторні години</w:t>
            </w:r>
          </w:p>
        </w:tc>
        <w:tc>
          <w:tcPr>
            <w:tcW w:w="5943" w:type="dxa"/>
            <w:tcBorders>
              <w:top w:val="nil"/>
              <w:left w:val="nil"/>
              <w:bottom w:val="nil"/>
              <w:right w:val="nil"/>
            </w:tcBorders>
            <w:shd w:val="clear" w:color="auto" w:fill="auto"/>
            <w:vAlign w:val="center"/>
          </w:tcPr>
          <w:p w:rsidR="006E152B" w:rsidRDefault="00244E85" w:rsidP="00244E85">
            <w:pPr>
              <w:spacing w:after="0"/>
              <w:rPr>
                <w:rFonts w:ascii="Times New Roman" w:hAnsi="Times New Roman"/>
                <w:sz w:val="28"/>
                <w:szCs w:val="28"/>
              </w:rPr>
            </w:pPr>
            <w:r>
              <w:rPr>
                <w:rFonts w:ascii="Times New Roman" w:hAnsi="Times New Roman" w:cs="Times New Roman"/>
                <w:b/>
                <w:sz w:val="28"/>
                <w:szCs w:val="28"/>
              </w:rPr>
              <w:t>30 (16 год лекцій, 14 год практичних)</w:t>
            </w:r>
          </w:p>
        </w:tc>
      </w:tr>
    </w:tbl>
    <w:p w:rsidR="006E152B" w:rsidRDefault="006E152B" w:rsidP="00661364">
      <w:pPr>
        <w:spacing w:after="0" w:line="240" w:lineRule="auto"/>
        <w:jc w:val="both"/>
        <w:rPr>
          <w:rFonts w:ascii="Times New Roman" w:hAnsi="Times New Roman" w:cs="Times New Roman"/>
          <w:b/>
          <w:sz w:val="28"/>
          <w:szCs w:val="28"/>
        </w:rPr>
      </w:pPr>
    </w:p>
    <w:p w:rsidR="006E152B" w:rsidRDefault="006E152B" w:rsidP="00661364">
      <w:pPr>
        <w:spacing w:after="0" w:line="240" w:lineRule="auto"/>
        <w:jc w:val="both"/>
        <w:rPr>
          <w:rFonts w:ascii="Times New Roman" w:hAnsi="Times New Roman" w:cs="Times New Roman"/>
          <w:b/>
          <w:sz w:val="28"/>
          <w:szCs w:val="28"/>
        </w:rPr>
      </w:pPr>
    </w:p>
    <w:p w:rsidR="006E152B" w:rsidRPr="00E531F6" w:rsidRDefault="00244E85" w:rsidP="00661364">
      <w:pPr>
        <w:spacing w:after="0" w:line="240" w:lineRule="auto"/>
        <w:jc w:val="center"/>
        <w:rPr>
          <w:rFonts w:ascii="Times New Roman" w:hAnsi="Times New Roman" w:cs="Times New Roman"/>
          <w:i/>
          <w:sz w:val="24"/>
          <w:szCs w:val="24"/>
        </w:rPr>
      </w:pPr>
      <w:r w:rsidRPr="00E531F6">
        <w:rPr>
          <w:rFonts w:ascii="Times New Roman" w:hAnsi="Times New Roman" w:cs="Times New Roman"/>
          <w:b/>
          <w:sz w:val="24"/>
          <w:szCs w:val="24"/>
        </w:rPr>
        <w:t>Загальний опис дисципліни</w:t>
      </w:r>
    </w:p>
    <w:p w:rsidR="00244E85" w:rsidRPr="00E531F6" w:rsidRDefault="00244E85" w:rsidP="00244E85">
      <w:pPr>
        <w:spacing w:after="0" w:line="240" w:lineRule="auto"/>
        <w:jc w:val="both"/>
        <w:rPr>
          <w:rFonts w:ascii="Times New Roman" w:hAnsi="Times New Roman"/>
          <w:sz w:val="24"/>
          <w:szCs w:val="24"/>
        </w:rPr>
      </w:pPr>
      <w:r w:rsidRPr="00E531F6">
        <w:rPr>
          <w:rFonts w:ascii="Times New Roman" w:hAnsi="Times New Roman" w:cs="Times New Roman"/>
          <w:sz w:val="24"/>
          <w:szCs w:val="24"/>
        </w:rPr>
        <w:t xml:space="preserve">На сьогодні коли Україна перебуває у процесі глибоких політико-правових перетворень, пов’язаних з прийняттям серйозних управлінських рішень. Це вимагає відповіді на питання, на користь кого будуть прийняті такого роду рішення. При цьому в Україні спостерігається погано налагоджений діалог між державою і суспільством, а відсутність законодавчого регулювання лобізму у публічному просторі і надалі залишає це питання недостатньо зрозумілим та відкритим. Відсутність законодавчого врегулювання та груп, що здійснюють лобістську діяльність затримує демократизацію українського суспільства. Прагнення України в світове товариство, як незалежної держави, розкрило цілий спектр «зон впливу» на вітчизняну політику, яка значним чином була неготова до викликів глобальних політичних процесів. </w:t>
      </w:r>
    </w:p>
    <w:p w:rsidR="00244E85" w:rsidRPr="00E531F6" w:rsidRDefault="00244E85" w:rsidP="00661364">
      <w:pPr>
        <w:spacing w:after="0" w:line="240" w:lineRule="auto"/>
        <w:jc w:val="both"/>
        <w:rPr>
          <w:rFonts w:ascii="Times New Roman" w:hAnsi="Times New Roman" w:cs="Times New Roman"/>
          <w:sz w:val="24"/>
          <w:szCs w:val="24"/>
        </w:rPr>
      </w:pPr>
      <w:r w:rsidRPr="00E531F6">
        <w:rPr>
          <w:rFonts w:ascii="Times New Roman" w:hAnsi="Times New Roman" w:cs="Times New Roman"/>
          <w:sz w:val="24"/>
          <w:szCs w:val="24"/>
        </w:rPr>
        <w:t xml:space="preserve">Явище лобізму не є новим у світі. Сьогодні він є невід'ємним атрибутом політичного життя кожної країни, хоча методи і прояви його можуть суттєво різнитися. Лобізм у його позитивному сенсі постає як необхідний інститут демократичного процесу, бо є системою організаційного оформлення представництва різноманітних групових інтересів, формою законного впливу груп тиску на прийняття управлінських рішень державних органів із метою задоволення інтересів певних соціальних структур (організацій, територіальних асоціацій, верств суспільства тощо). Лобізм у його негативному сенсі сприймається, як вид корупції. </w:t>
      </w:r>
    </w:p>
    <w:p w:rsidR="006E152B" w:rsidRPr="00E531F6" w:rsidRDefault="006E152B" w:rsidP="00661364">
      <w:pPr>
        <w:spacing w:after="0" w:line="240" w:lineRule="auto"/>
        <w:jc w:val="center"/>
        <w:rPr>
          <w:rFonts w:ascii="Times New Roman" w:hAnsi="Times New Roman" w:cs="Times New Roman"/>
          <w:i/>
          <w:sz w:val="24"/>
          <w:szCs w:val="24"/>
        </w:rPr>
      </w:pPr>
    </w:p>
    <w:p w:rsidR="006E152B" w:rsidRPr="00E531F6" w:rsidRDefault="00244E85" w:rsidP="00661364">
      <w:pPr>
        <w:spacing w:after="0" w:line="240" w:lineRule="auto"/>
        <w:jc w:val="center"/>
        <w:rPr>
          <w:rFonts w:ascii="Times New Roman" w:hAnsi="Times New Roman" w:cs="Times New Roman"/>
          <w:b/>
          <w:sz w:val="24"/>
          <w:szCs w:val="24"/>
        </w:rPr>
      </w:pPr>
      <w:r w:rsidRPr="00E531F6">
        <w:rPr>
          <w:rFonts w:ascii="Times New Roman" w:hAnsi="Times New Roman" w:cs="Times New Roman"/>
          <w:b/>
          <w:sz w:val="24"/>
          <w:szCs w:val="24"/>
        </w:rPr>
        <w:t>Теми лекцій:</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1. Концептуальні підходи до визначення лобізму.</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2. Визначення суб’єктів та об’єктів лобістської діяльності.</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3. Визначення предмету лобістської діяльності.</w:t>
      </w:r>
    </w:p>
    <w:p w:rsidR="006E152B" w:rsidRPr="00E531F6" w:rsidRDefault="00244E85" w:rsidP="00661364">
      <w:pPr>
        <w:widowControl w:val="0"/>
        <w:tabs>
          <w:tab w:val="left" w:pos="1270"/>
          <w:tab w:val="left" w:pos="1676"/>
          <w:tab w:val="left" w:pos="2940"/>
          <w:tab w:val="left" w:pos="3376"/>
          <w:tab w:val="left" w:pos="4383"/>
          <w:tab w:val="left" w:pos="5462"/>
          <w:tab w:val="left" w:pos="6541"/>
          <w:tab w:val="left" w:pos="8507"/>
        </w:tabs>
        <w:spacing w:after="0" w:line="240" w:lineRule="auto"/>
        <w:rPr>
          <w:rFonts w:ascii="Times New Roman" w:hAnsi="Times New Roman"/>
          <w:sz w:val="24"/>
          <w:szCs w:val="24"/>
        </w:rPr>
      </w:pPr>
      <w:r w:rsidRPr="00E531F6">
        <w:rPr>
          <w:rFonts w:ascii="Times New Roman" w:hAnsi="Times New Roman"/>
          <w:sz w:val="24"/>
          <w:szCs w:val="24"/>
          <w:lang w:bidi="ru-RU"/>
        </w:rPr>
        <w:t>4. Типологія та функції лобізму.</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5. Правові моделі лобістської діяльності.</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6. Англосаксонська та континентальна модель лобістської діяльності</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7. Лобі-групи в міжнародних відносинах</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8. Транснаціональні інтереси підприємницьких кіл і їх вплив на зовнішню політику держави.</w:t>
      </w:r>
    </w:p>
    <w:p w:rsidR="006E152B" w:rsidRPr="00E531F6" w:rsidRDefault="006E152B" w:rsidP="00661364">
      <w:pPr>
        <w:widowControl w:val="0"/>
        <w:spacing w:after="0" w:line="240" w:lineRule="auto"/>
        <w:rPr>
          <w:rFonts w:ascii="Times New Roman" w:hAnsi="Times New Roman" w:cs="Times New Roman"/>
          <w:sz w:val="24"/>
          <w:szCs w:val="24"/>
        </w:rPr>
      </w:pPr>
    </w:p>
    <w:p w:rsidR="006E152B" w:rsidRPr="00E531F6" w:rsidRDefault="006E152B" w:rsidP="00661364">
      <w:pPr>
        <w:spacing w:after="0" w:line="240" w:lineRule="auto"/>
        <w:jc w:val="center"/>
        <w:rPr>
          <w:rFonts w:ascii="Times New Roman" w:hAnsi="Times New Roman" w:cs="Times New Roman"/>
          <w:sz w:val="24"/>
          <w:szCs w:val="24"/>
        </w:rPr>
      </w:pPr>
    </w:p>
    <w:p w:rsidR="006E152B" w:rsidRPr="00E531F6" w:rsidRDefault="00244E85" w:rsidP="00661364">
      <w:pPr>
        <w:spacing w:after="0" w:line="240" w:lineRule="auto"/>
        <w:jc w:val="center"/>
        <w:rPr>
          <w:rFonts w:ascii="Times New Roman" w:hAnsi="Times New Roman" w:cs="Times New Roman"/>
          <w:b/>
          <w:sz w:val="24"/>
          <w:szCs w:val="24"/>
        </w:rPr>
      </w:pPr>
      <w:r w:rsidRPr="00E531F6">
        <w:rPr>
          <w:rFonts w:ascii="Times New Roman" w:hAnsi="Times New Roman" w:cs="Times New Roman"/>
          <w:b/>
          <w:sz w:val="24"/>
          <w:szCs w:val="24"/>
        </w:rPr>
        <w:t>Теми занять:</w:t>
      </w:r>
    </w:p>
    <w:p w:rsidR="006E152B" w:rsidRPr="00E531F6" w:rsidRDefault="00244E85" w:rsidP="00661364">
      <w:pPr>
        <w:spacing w:after="0" w:line="240" w:lineRule="auto"/>
        <w:jc w:val="center"/>
        <w:rPr>
          <w:rFonts w:ascii="Times New Roman" w:hAnsi="Times New Roman" w:cs="Times New Roman"/>
          <w:b/>
          <w:i/>
          <w:sz w:val="24"/>
          <w:szCs w:val="24"/>
        </w:rPr>
      </w:pPr>
      <w:r w:rsidRPr="00E531F6">
        <w:rPr>
          <w:rFonts w:ascii="Times New Roman" w:hAnsi="Times New Roman" w:cs="Times New Roman"/>
          <w:b/>
          <w:i/>
          <w:sz w:val="24"/>
          <w:szCs w:val="24"/>
        </w:rPr>
        <w:t xml:space="preserve">(семінарських, практичних, лабораторних) </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1. Теорія та практика лобізму: національний та закордонний досвід</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2. Класифікація суб’єктів</w:t>
      </w:r>
      <w:r w:rsidRPr="00E531F6">
        <w:rPr>
          <w:rFonts w:ascii="Times New Roman" w:hAnsi="Times New Roman"/>
          <w:sz w:val="24"/>
          <w:szCs w:val="24"/>
        </w:rPr>
        <w:t xml:space="preserve"> </w:t>
      </w:r>
      <w:r w:rsidRPr="00E531F6">
        <w:rPr>
          <w:rFonts w:ascii="Times New Roman" w:hAnsi="Times New Roman"/>
          <w:sz w:val="24"/>
          <w:szCs w:val="24"/>
          <w:lang w:bidi="ru-RU"/>
        </w:rPr>
        <w:t>лобістської діяльності.</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3. Класифікація об’єктів лобістської діяльності.</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4. Основні технології лобіювання.</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5. Особливості становлення інституту лобізму в Україні.</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6. Міжнародний лобізм: проблема визначення поняття.</w:t>
      </w:r>
    </w:p>
    <w:p w:rsidR="006E152B" w:rsidRPr="00E531F6" w:rsidRDefault="00244E85" w:rsidP="00661364">
      <w:pPr>
        <w:widowControl w:val="0"/>
        <w:spacing w:after="0" w:line="240" w:lineRule="auto"/>
        <w:rPr>
          <w:rFonts w:ascii="Times New Roman" w:hAnsi="Times New Roman"/>
          <w:sz w:val="24"/>
          <w:szCs w:val="24"/>
        </w:rPr>
      </w:pPr>
      <w:r w:rsidRPr="00E531F6">
        <w:rPr>
          <w:rFonts w:ascii="Times New Roman" w:hAnsi="Times New Roman"/>
          <w:sz w:val="24"/>
          <w:szCs w:val="24"/>
          <w:lang w:bidi="ru-RU"/>
        </w:rPr>
        <w:t>7. Особливості регулювання та тенденції функціювання лобі-діяльності в США.</w:t>
      </w:r>
    </w:p>
    <w:sectPr w:rsidR="006E152B" w:rsidRPr="00E531F6">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2B"/>
    <w:rsid w:val="00244E85"/>
    <w:rsid w:val="00661364"/>
    <w:rsid w:val="006E152B"/>
    <w:rsid w:val="009B3820"/>
    <w:rsid w:val="00E531F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C4F48-4A79-4766-A9F0-388AE844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88" w:lineRule="auto"/>
    </w:pPr>
  </w:style>
  <w:style w:type="paragraph" w:styleId="a5">
    <w:name w:val="List"/>
    <w:basedOn w:val="a4"/>
    <w:rPr>
      <w:rFonts w:cs="Arial"/>
    </w:rPr>
  </w:style>
  <w:style w:type="paragraph" w:customStyle="1" w:styleId="a6">
    <w:name w:val="Название"/>
    <w:basedOn w:val="a"/>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styleId="a8">
    <w:name w:val="List Paragraph"/>
    <w:basedOn w:val="a"/>
    <w:uiPriority w:val="34"/>
    <w:qFormat/>
    <w:rsid w:val="00D444FA"/>
    <w:pPr>
      <w:ind w:left="720"/>
      <w:contextualSpacing/>
    </w:pPr>
  </w:style>
  <w:style w:type="table" w:styleId="a9">
    <w:name w:val="Table Grid"/>
    <w:basedOn w:val="a1"/>
    <w:uiPriority w:val="39"/>
    <w:rsid w:val="007802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1631</Words>
  <Characters>930</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Vlada Uliutina</cp:lastModifiedBy>
  <cp:revision>2</cp:revision>
  <dcterms:created xsi:type="dcterms:W3CDTF">2019-11-25T09:28:00Z</dcterms:created>
  <dcterms:modified xsi:type="dcterms:W3CDTF">2019-11-25T09:28:00Z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