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8E9" w:rsidRDefault="001538E9" w:rsidP="001538E9">
      <w:pPr>
        <w:spacing w:after="0" w:line="240" w:lineRule="auto"/>
        <w:jc w:val="center"/>
        <w:rPr>
          <w:rFonts w:ascii="Arial" w:hAnsi="Arial" w:cs="Arial"/>
          <w:b/>
          <w:sz w:val="28"/>
          <w:szCs w:val="28"/>
        </w:rPr>
      </w:pPr>
      <w:r w:rsidRPr="00671B7C">
        <w:rPr>
          <w:rFonts w:ascii="Arial" w:hAnsi="Arial" w:cs="Arial"/>
          <w:b/>
          <w:sz w:val="28"/>
          <w:szCs w:val="28"/>
        </w:rPr>
        <w:t>ФІЛОСОФІЯ НАУКИ ТА ІННОВАЦІЙНОГО РОЗВИТКУ</w:t>
      </w:r>
    </w:p>
    <w:p w:rsidR="001538E9" w:rsidRPr="00671B7C" w:rsidRDefault="001538E9" w:rsidP="001538E9">
      <w:pPr>
        <w:spacing w:after="0" w:line="240" w:lineRule="auto"/>
        <w:jc w:val="center"/>
        <w:rPr>
          <w:rFonts w:ascii="Arial" w:hAnsi="Arial" w:cs="Arial"/>
          <w:b/>
          <w:sz w:val="28"/>
          <w:szCs w:val="28"/>
        </w:rPr>
      </w:pPr>
    </w:p>
    <w:p w:rsidR="001538E9" w:rsidRDefault="001538E9" w:rsidP="001538E9">
      <w:pPr>
        <w:spacing w:after="0" w:line="240" w:lineRule="auto"/>
        <w:jc w:val="center"/>
        <w:rPr>
          <w:rFonts w:ascii="Arial" w:hAnsi="Arial" w:cs="Arial"/>
          <w:b/>
          <w:sz w:val="28"/>
          <w:szCs w:val="28"/>
        </w:rPr>
      </w:pPr>
      <w:r w:rsidRPr="00671B7C">
        <w:rPr>
          <w:rFonts w:ascii="Arial" w:hAnsi="Arial" w:cs="Arial"/>
          <w:b/>
          <w:sz w:val="28"/>
          <w:szCs w:val="28"/>
        </w:rPr>
        <w:t>Кафедра філософії</w:t>
      </w:r>
    </w:p>
    <w:p w:rsidR="001538E9" w:rsidRDefault="001538E9" w:rsidP="001538E9">
      <w:pPr>
        <w:spacing w:after="0" w:line="240" w:lineRule="auto"/>
        <w:jc w:val="center"/>
        <w:rPr>
          <w:rFonts w:ascii="Arial" w:hAnsi="Arial" w:cs="Arial"/>
          <w:b/>
          <w:sz w:val="28"/>
          <w:szCs w:val="28"/>
        </w:rPr>
      </w:pPr>
    </w:p>
    <w:p w:rsidR="001538E9" w:rsidRPr="00671B7C" w:rsidRDefault="001538E9" w:rsidP="001538E9">
      <w:pPr>
        <w:spacing w:after="0" w:line="240" w:lineRule="auto"/>
        <w:jc w:val="center"/>
        <w:rPr>
          <w:rFonts w:ascii="Arial" w:hAnsi="Arial" w:cs="Arial"/>
          <w:b/>
          <w:sz w:val="28"/>
          <w:szCs w:val="28"/>
        </w:rPr>
      </w:pPr>
      <w:proofErr w:type="spellStart"/>
      <w:r>
        <w:rPr>
          <w:rFonts w:ascii="Arial" w:hAnsi="Arial" w:cs="Arial"/>
          <w:b/>
          <w:sz w:val="28"/>
          <w:szCs w:val="28"/>
        </w:rPr>
        <w:t>Гуманітарно</w:t>
      </w:r>
      <w:proofErr w:type="spellEnd"/>
      <w:r>
        <w:rPr>
          <w:rFonts w:ascii="Arial" w:hAnsi="Arial" w:cs="Arial"/>
          <w:b/>
          <w:sz w:val="28"/>
          <w:szCs w:val="28"/>
        </w:rPr>
        <w:t>-педагогічний факультет</w:t>
      </w:r>
    </w:p>
    <w:p w:rsidR="001538E9" w:rsidRPr="00671B7C" w:rsidRDefault="001538E9" w:rsidP="001538E9">
      <w:pPr>
        <w:spacing w:after="0" w:line="240" w:lineRule="auto"/>
        <w:jc w:val="center"/>
        <w:rPr>
          <w:rFonts w:ascii="Arial" w:hAnsi="Arial" w:cs="Arial"/>
          <w:b/>
          <w:sz w:val="28"/>
          <w:szCs w:val="28"/>
        </w:rPr>
      </w:pPr>
    </w:p>
    <w:tbl>
      <w:tblPr>
        <w:tblStyle w:val="a3"/>
        <w:tblW w:w="9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43"/>
      </w:tblGrid>
      <w:tr w:rsidR="001538E9" w:rsidRPr="00671B7C" w:rsidTr="00921874">
        <w:tc>
          <w:tcPr>
            <w:tcW w:w="3828" w:type="dxa"/>
          </w:tcPr>
          <w:p w:rsidR="001538E9" w:rsidRPr="00671B7C" w:rsidRDefault="001538E9" w:rsidP="001538E9">
            <w:pPr>
              <w:rPr>
                <w:rFonts w:ascii="Arial" w:hAnsi="Arial" w:cs="Arial"/>
                <w:b/>
                <w:i/>
                <w:sz w:val="28"/>
                <w:szCs w:val="28"/>
              </w:rPr>
            </w:pPr>
            <w:r w:rsidRPr="00671B7C">
              <w:rPr>
                <w:rFonts w:ascii="Arial" w:hAnsi="Arial" w:cs="Arial"/>
                <w:b/>
                <w:i/>
                <w:sz w:val="28"/>
                <w:szCs w:val="28"/>
              </w:rPr>
              <w:t>Лектор</w:t>
            </w:r>
          </w:p>
        </w:tc>
        <w:tc>
          <w:tcPr>
            <w:tcW w:w="5943" w:type="dxa"/>
          </w:tcPr>
          <w:p w:rsidR="001538E9" w:rsidRPr="00671B7C" w:rsidRDefault="001538E9" w:rsidP="001538E9">
            <w:pPr>
              <w:rPr>
                <w:rFonts w:ascii="Arial" w:hAnsi="Arial" w:cs="Arial"/>
                <w:b/>
                <w:sz w:val="28"/>
                <w:szCs w:val="28"/>
              </w:rPr>
            </w:pPr>
            <w:proofErr w:type="spellStart"/>
            <w:r w:rsidRPr="00671B7C">
              <w:rPr>
                <w:rFonts w:ascii="Arial" w:hAnsi="Arial" w:cs="Arial"/>
                <w:b/>
                <w:sz w:val="28"/>
                <w:szCs w:val="28"/>
              </w:rPr>
              <w:t>Культенко</w:t>
            </w:r>
            <w:proofErr w:type="spellEnd"/>
            <w:r w:rsidRPr="00671B7C">
              <w:rPr>
                <w:rFonts w:ascii="Arial" w:hAnsi="Arial" w:cs="Arial"/>
                <w:b/>
                <w:sz w:val="28"/>
                <w:szCs w:val="28"/>
              </w:rPr>
              <w:t xml:space="preserve"> Валентина Павлівна</w:t>
            </w:r>
          </w:p>
        </w:tc>
      </w:tr>
      <w:tr w:rsidR="001538E9" w:rsidRPr="00671B7C" w:rsidTr="00921874">
        <w:tc>
          <w:tcPr>
            <w:tcW w:w="3828" w:type="dxa"/>
          </w:tcPr>
          <w:p w:rsidR="001538E9" w:rsidRPr="00671B7C" w:rsidRDefault="001538E9" w:rsidP="001538E9">
            <w:pPr>
              <w:rPr>
                <w:rFonts w:ascii="Arial" w:hAnsi="Arial" w:cs="Arial"/>
                <w:b/>
                <w:i/>
                <w:sz w:val="28"/>
                <w:szCs w:val="28"/>
              </w:rPr>
            </w:pPr>
            <w:r w:rsidRPr="00671B7C">
              <w:rPr>
                <w:rFonts w:ascii="Arial" w:hAnsi="Arial" w:cs="Arial"/>
                <w:b/>
                <w:i/>
                <w:sz w:val="28"/>
                <w:szCs w:val="28"/>
              </w:rPr>
              <w:t>Семестр</w:t>
            </w:r>
          </w:p>
        </w:tc>
        <w:tc>
          <w:tcPr>
            <w:tcW w:w="5943" w:type="dxa"/>
          </w:tcPr>
          <w:p w:rsidR="001538E9" w:rsidRPr="00671B7C" w:rsidRDefault="001538E9" w:rsidP="001538E9">
            <w:pPr>
              <w:rPr>
                <w:rFonts w:ascii="Arial" w:hAnsi="Arial" w:cs="Arial"/>
                <w:b/>
                <w:sz w:val="28"/>
                <w:szCs w:val="28"/>
              </w:rPr>
            </w:pPr>
            <w:r w:rsidRPr="00671B7C">
              <w:rPr>
                <w:rFonts w:ascii="Arial" w:hAnsi="Arial" w:cs="Arial"/>
                <w:b/>
                <w:sz w:val="28"/>
                <w:szCs w:val="28"/>
              </w:rPr>
              <w:t>2</w:t>
            </w:r>
          </w:p>
        </w:tc>
      </w:tr>
      <w:tr w:rsidR="001538E9" w:rsidRPr="00671B7C" w:rsidTr="00921874">
        <w:tc>
          <w:tcPr>
            <w:tcW w:w="3828" w:type="dxa"/>
          </w:tcPr>
          <w:p w:rsidR="001538E9" w:rsidRPr="00671B7C" w:rsidRDefault="001538E9" w:rsidP="001538E9">
            <w:pPr>
              <w:rPr>
                <w:rFonts w:ascii="Arial" w:hAnsi="Arial" w:cs="Arial"/>
                <w:b/>
                <w:i/>
                <w:sz w:val="28"/>
                <w:szCs w:val="28"/>
              </w:rPr>
            </w:pPr>
            <w:r w:rsidRPr="00671B7C">
              <w:rPr>
                <w:rFonts w:ascii="Arial" w:hAnsi="Arial" w:cs="Arial"/>
                <w:b/>
                <w:i/>
                <w:sz w:val="28"/>
                <w:szCs w:val="28"/>
              </w:rPr>
              <w:t>Освітній ступінь</w:t>
            </w:r>
          </w:p>
        </w:tc>
        <w:tc>
          <w:tcPr>
            <w:tcW w:w="5943" w:type="dxa"/>
          </w:tcPr>
          <w:p w:rsidR="001538E9" w:rsidRPr="00671B7C" w:rsidRDefault="001538E9" w:rsidP="001538E9">
            <w:pPr>
              <w:rPr>
                <w:rFonts w:ascii="Arial" w:hAnsi="Arial" w:cs="Arial"/>
                <w:b/>
                <w:sz w:val="28"/>
                <w:szCs w:val="28"/>
              </w:rPr>
            </w:pPr>
            <w:r w:rsidRPr="00671B7C">
              <w:rPr>
                <w:rFonts w:ascii="Arial" w:hAnsi="Arial" w:cs="Arial"/>
                <w:b/>
                <w:sz w:val="28"/>
                <w:szCs w:val="28"/>
              </w:rPr>
              <w:t>Магістр</w:t>
            </w:r>
          </w:p>
        </w:tc>
      </w:tr>
      <w:tr w:rsidR="001538E9" w:rsidRPr="00671B7C" w:rsidTr="00921874">
        <w:tc>
          <w:tcPr>
            <w:tcW w:w="3828" w:type="dxa"/>
          </w:tcPr>
          <w:p w:rsidR="001538E9" w:rsidRPr="00671B7C" w:rsidRDefault="001538E9" w:rsidP="001538E9">
            <w:pPr>
              <w:rPr>
                <w:rFonts w:ascii="Arial" w:hAnsi="Arial" w:cs="Arial"/>
                <w:b/>
                <w:i/>
                <w:sz w:val="28"/>
                <w:szCs w:val="28"/>
              </w:rPr>
            </w:pPr>
            <w:r w:rsidRPr="00671B7C">
              <w:rPr>
                <w:rFonts w:ascii="Arial" w:hAnsi="Arial" w:cs="Arial"/>
                <w:b/>
                <w:i/>
                <w:sz w:val="28"/>
                <w:szCs w:val="28"/>
              </w:rPr>
              <w:t>Кількість кредитів ЄКТС</w:t>
            </w:r>
          </w:p>
        </w:tc>
        <w:tc>
          <w:tcPr>
            <w:tcW w:w="5943" w:type="dxa"/>
          </w:tcPr>
          <w:p w:rsidR="001538E9" w:rsidRPr="00671B7C" w:rsidRDefault="009C32B9" w:rsidP="001538E9">
            <w:pPr>
              <w:rPr>
                <w:rFonts w:ascii="Arial" w:hAnsi="Arial" w:cs="Arial"/>
                <w:b/>
                <w:sz w:val="28"/>
                <w:szCs w:val="28"/>
              </w:rPr>
            </w:pPr>
            <w:r>
              <w:rPr>
                <w:rFonts w:ascii="Arial" w:hAnsi="Arial" w:cs="Arial"/>
                <w:b/>
                <w:sz w:val="28"/>
                <w:szCs w:val="28"/>
              </w:rPr>
              <w:t>4</w:t>
            </w:r>
            <w:bookmarkStart w:id="0" w:name="_GoBack"/>
            <w:bookmarkEnd w:id="0"/>
          </w:p>
        </w:tc>
      </w:tr>
      <w:tr w:rsidR="001538E9" w:rsidRPr="00671B7C" w:rsidTr="00921874">
        <w:tc>
          <w:tcPr>
            <w:tcW w:w="3828" w:type="dxa"/>
          </w:tcPr>
          <w:p w:rsidR="001538E9" w:rsidRPr="00671B7C" w:rsidRDefault="001538E9" w:rsidP="001538E9">
            <w:pPr>
              <w:rPr>
                <w:rFonts w:ascii="Arial" w:hAnsi="Arial" w:cs="Arial"/>
                <w:b/>
                <w:i/>
                <w:sz w:val="28"/>
                <w:szCs w:val="28"/>
              </w:rPr>
            </w:pPr>
            <w:r w:rsidRPr="00671B7C">
              <w:rPr>
                <w:rFonts w:ascii="Arial" w:hAnsi="Arial" w:cs="Arial"/>
                <w:b/>
                <w:i/>
                <w:sz w:val="28"/>
                <w:szCs w:val="28"/>
              </w:rPr>
              <w:t>Форма контролю</w:t>
            </w:r>
          </w:p>
        </w:tc>
        <w:tc>
          <w:tcPr>
            <w:tcW w:w="5943" w:type="dxa"/>
          </w:tcPr>
          <w:p w:rsidR="001538E9" w:rsidRPr="00671B7C" w:rsidRDefault="001538E9" w:rsidP="001538E9">
            <w:pPr>
              <w:rPr>
                <w:rFonts w:ascii="Arial" w:hAnsi="Arial" w:cs="Arial"/>
                <w:b/>
                <w:sz w:val="28"/>
                <w:szCs w:val="28"/>
              </w:rPr>
            </w:pPr>
            <w:r w:rsidRPr="00671B7C">
              <w:rPr>
                <w:rFonts w:ascii="Arial" w:hAnsi="Arial" w:cs="Arial"/>
                <w:b/>
                <w:sz w:val="28"/>
                <w:szCs w:val="28"/>
              </w:rPr>
              <w:t>Екзамен</w:t>
            </w:r>
          </w:p>
        </w:tc>
      </w:tr>
      <w:tr w:rsidR="001538E9" w:rsidRPr="00671B7C" w:rsidTr="00921874">
        <w:tc>
          <w:tcPr>
            <w:tcW w:w="3828" w:type="dxa"/>
          </w:tcPr>
          <w:p w:rsidR="001538E9" w:rsidRPr="00671B7C" w:rsidRDefault="001538E9" w:rsidP="001538E9">
            <w:pPr>
              <w:rPr>
                <w:rFonts w:ascii="Arial" w:hAnsi="Arial" w:cs="Arial"/>
                <w:b/>
                <w:i/>
                <w:sz w:val="28"/>
                <w:szCs w:val="28"/>
              </w:rPr>
            </w:pPr>
            <w:r w:rsidRPr="00671B7C">
              <w:rPr>
                <w:rFonts w:ascii="Arial" w:hAnsi="Arial" w:cs="Arial"/>
                <w:b/>
                <w:i/>
                <w:sz w:val="28"/>
                <w:szCs w:val="28"/>
              </w:rPr>
              <w:t>Аудиторні години</w:t>
            </w:r>
          </w:p>
        </w:tc>
        <w:tc>
          <w:tcPr>
            <w:tcW w:w="5943" w:type="dxa"/>
          </w:tcPr>
          <w:p w:rsidR="001538E9" w:rsidRPr="00671B7C" w:rsidRDefault="001538E9" w:rsidP="001538E9">
            <w:pPr>
              <w:rPr>
                <w:rFonts w:ascii="Arial" w:hAnsi="Arial" w:cs="Arial"/>
                <w:b/>
                <w:sz w:val="28"/>
                <w:szCs w:val="28"/>
              </w:rPr>
            </w:pPr>
            <w:r w:rsidRPr="00671B7C">
              <w:rPr>
                <w:rFonts w:ascii="Arial" w:hAnsi="Arial" w:cs="Arial"/>
                <w:b/>
                <w:sz w:val="28"/>
                <w:szCs w:val="28"/>
              </w:rPr>
              <w:t>30 (16 год лекцій, 14 год практичних чи лабораторних)</w:t>
            </w:r>
          </w:p>
        </w:tc>
      </w:tr>
    </w:tbl>
    <w:p w:rsidR="001538E9" w:rsidRPr="00671B7C" w:rsidRDefault="001538E9" w:rsidP="001538E9">
      <w:pPr>
        <w:spacing w:after="0" w:line="240" w:lineRule="auto"/>
        <w:jc w:val="center"/>
        <w:rPr>
          <w:rFonts w:ascii="Arial" w:hAnsi="Arial" w:cs="Arial"/>
          <w:b/>
          <w:sz w:val="28"/>
          <w:szCs w:val="28"/>
        </w:rPr>
      </w:pPr>
    </w:p>
    <w:p w:rsidR="001538E9" w:rsidRPr="00671B7C" w:rsidRDefault="001538E9" w:rsidP="001538E9">
      <w:pPr>
        <w:spacing w:after="0" w:line="240" w:lineRule="auto"/>
        <w:jc w:val="center"/>
        <w:rPr>
          <w:rFonts w:ascii="Arial" w:hAnsi="Arial" w:cs="Arial"/>
          <w:i/>
          <w:sz w:val="28"/>
          <w:szCs w:val="28"/>
        </w:rPr>
      </w:pPr>
      <w:r w:rsidRPr="00671B7C">
        <w:rPr>
          <w:rFonts w:ascii="Arial" w:hAnsi="Arial" w:cs="Arial"/>
          <w:b/>
          <w:sz w:val="28"/>
          <w:szCs w:val="28"/>
        </w:rPr>
        <w:t>Загальний опис дисципліни</w:t>
      </w:r>
    </w:p>
    <w:p w:rsidR="001538E9" w:rsidRPr="00671B7C" w:rsidRDefault="001538E9" w:rsidP="001538E9">
      <w:pPr>
        <w:spacing w:after="0" w:line="240" w:lineRule="auto"/>
        <w:ind w:firstLine="709"/>
        <w:jc w:val="both"/>
        <w:rPr>
          <w:rFonts w:ascii="Arial" w:hAnsi="Arial" w:cs="Arial"/>
          <w:b/>
          <w:sz w:val="28"/>
          <w:szCs w:val="28"/>
          <w:u w:val="single"/>
        </w:rPr>
      </w:pPr>
      <w:r w:rsidRPr="00671B7C">
        <w:rPr>
          <w:rFonts w:ascii="Arial" w:hAnsi="Arial" w:cs="Arial"/>
          <w:sz w:val="28"/>
          <w:szCs w:val="28"/>
        </w:rPr>
        <w:t xml:space="preserve">Вивчення дисципліни спрямоване на формування у студентів здатності до адекватного розуміння та розв’язання теоретичних, методологічних, світоглядних проблем сучасної науки, належного рівня наукової культури. Курс покликаний синтезувати набуті знання у цілісний </w:t>
      </w:r>
      <w:proofErr w:type="spellStart"/>
      <w:r w:rsidRPr="00671B7C">
        <w:rPr>
          <w:rFonts w:ascii="Arial" w:hAnsi="Arial" w:cs="Arial"/>
          <w:sz w:val="28"/>
          <w:szCs w:val="28"/>
        </w:rPr>
        <w:t>філософсько</w:t>
      </w:r>
      <w:proofErr w:type="spellEnd"/>
      <w:r w:rsidRPr="00671B7C">
        <w:rPr>
          <w:rFonts w:ascii="Arial" w:hAnsi="Arial" w:cs="Arial"/>
          <w:sz w:val="28"/>
          <w:szCs w:val="28"/>
        </w:rPr>
        <w:t>-науковий світогляд у єдності методологічного та гуманітарного компонентів магістерського рівня підготовки спеціалістів.</w:t>
      </w:r>
    </w:p>
    <w:p w:rsidR="001538E9" w:rsidRPr="00671B7C" w:rsidRDefault="001538E9" w:rsidP="001538E9">
      <w:pPr>
        <w:pStyle w:val="FR1"/>
        <w:spacing w:before="0"/>
        <w:ind w:left="0" w:firstLine="709"/>
        <w:jc w:val="both"/>
        <w:rPr>
          <w:rFonts w:ascii="Arial" w:hAnsi="Arial" w:cs="Arial"/>
          <w:b w:val="0"/>
          <w:sz w:val="28"/>
          <w:szCs w:val="28"/>
        </w:rPr>
      </w:pPr>
      <w:r w:rsidRPr="00671B7C">
        <w:rPr>
          <w:rFonts w:ascii="Arial" w:hAnsi="Arial" w:cs="Arial"/>
          <w:b w:val="0"/>
          <w:sz w:val="28"/>
          <w:szCs w:val="28"/>
        </w:rPr>
        <w:t xml:space="preserve">У курсі висвітлюється специфіка філософії науки та інноваційного розвитку як особливого типу гуманітарного знання та як навчальної дисципліни, наводиться характеристика історичного розвитку основних напрямків та методологічних прийомів вирішення головних проблем науки, розглядаються методологічні, структурні, світоглядно-ціннісні засади й особливості наукового пізнання, здійснюється філософський аналіз специфіки сучасного стану світової та вітчизняної науки, перспектив їх розвитку та взаємодії з іншими сферами життєдіяльності суспільства. Курс покликаний розвивати тип свідомості студентів, що виключав би догматизм, базувався на </w:t>
      </w:r>
      <w:proofErr w:type="spellStart"/>
      <w:r w:rsidRPr="00671B7C">
        <w:rPr>
          <w:rFonts w:ascii="Arial" w:hAnsi="Arial" w:cs="Arial"/>
          <w:b w:val="0"/>
          <w:sz w:val="28"/>
          <w:szCs w:val="28"/>
        </w:rPr>
        <w:t>конструктивно</w:t>
      </w:r>
      <w:proofErr w:type="spellEnd"/>
      <w:r w:rsidRPr="00671B7C">
        <w:rPr>
          <w:rFonts w:ascii="Arial" w:hAnsi="Arial" w:cs="Arial"/>
          <w:b w:val="0"/>
          <w:sz w:val="28"/>
          <w:szCs w:val="28"/>
        </w:rPr>
        <w:t xml:space="preserve">-критичних підходах, гуманістичних ідеалах, поєднанні національного і загальнолюдського. Цьому підпорядковане вивчення основних розділів навчальної дисципліни: поняття науки, історичний розвиток </w:t>
      </w:r>
      <w:proofErr w:type="spellStart"/>
      <w:r w:rsidRPr="00671B7C">
        <w:rPr>
          <w:rFonts w:ascii="Arial" w:hAnsi="Arial" w:cs="Arial"/>
          <w:b w:val="0"/>
          <w:sz w:val="28"/>
          <w:szCs w:val="28"/>
        </w:rPr>
        <w:t>філософсько</w:t>
      </w:r>
      <w:proofErr w:type="spellEnd"/>
      <w:r w:rsidRPr="00671B7C">
        <w:rPr>
          <w:rFonts w:ascii="Arial" w:hAnsi="Arial" w:cs="Arial"/>
          <w:b w:val="0"/>
          <w:sz w:val="28"/>
          <w:szCs w:val="28"/>
        </w:rPr>
        <w:t xml:space="preserve">-наукових досліджень, історії науки, соціологія, гносеологія, епістемологія та методологія науки і наукова культура, наука та інноваційний розвиток суспільства. </w:t>
      </w:r>
    </w:p>
    <w:p w:rsidR="001538E9" w:rsidRPr="00671B7C" w:rsidRDefault="001538E9" w:rsidP="001538E9">
      <w:pPr>
        <w:tabs>
          <w:tab w:val="left" w:pos="284"/>
          <w:tab w:val="left" w:pos="567"/>
        </w:tabs>
        <w:spacing w:after="0" w:line="240" w:lineRule="auto"/>
        <w:ind w:firstLine="709"/>
        <w:jc w:val="both"/>
        <w:rPr>
          <w:rFonts w:ascii="Arial" w:hAnsi="Arial" w:cs="Arial"/>
          <w:i/>
          <w:sz w:val="28"/>
          <w:szCs w:val="28"/>
        </w:rPr>
      </w:pPr>
    </w:p>
    <w:p w:rsidR="001538E9" w:rsidRPr="00671B7C" w:rsidRDefault="001538E9" w:rsidP="001538E9">
      <w:pPr>
        <w:spacing w:after="0" w:line="240" w:lineRule="auto"/>
        <w:jc w:val="center"/>
        <w:rPr>
          <w:rFonts w:ascii="Arial" w:hAnsi="Arial" w:cs="Arial"/>
          <w:b/>
          <w:sz w:val="28"/>
          <w:szCs w:val="28"/>
        </w:rPr>
      </w:pPr>
      <w:r w:rsidRPr="00671B7C">
        <w:rPr>
          <w:rFonts w:ascii="Arial" w:hAnsi="Arial" w:cs="Arial"/>
          <w:b/>
          <w:sz w:val="28"/>
          <w:szCs w:val="28"/>
        </w:rPr>
        <w:t>Теми лекцій:</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Наука як предмет філософського аналізу. Фізика та метафізика</w:t>
      </w:r>
      <w:r w:rsidRPr="00671B7C">
        <w:rPr>
          <w:rFonts w:ascii="Arial" w:hAnsi="Arial" w:cs="Arial"/>
          <w:color w:val="000000"/>
          <w:spacing w:val="-1"/>
          <w:sz w:val="28"/>
          <w:szCs w:val="28"/>
        </w:rPr>
        <w:t xml:space="preserve"> </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Основні етапи становлення науки</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Філософія науки: походження та основні етапи розвитку.</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Наука як специфічний тип знання.</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Розвиток наукового пізнання та методологія інноваційної діяльності. Методологія пізнання в біологічних науках</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lastRenderedPageBreak/>
        <w:t>Філософія і наука на межі ХХ-ХХІ століть.</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Етика науки. Проблема відповідальності вченого. Сучасні проблеми біотехнології та наукова етика</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Наука як виробництво інноваційних знань. Філософія техніки.</w:t>
      </w:r>
    </w:p>
    <w:p w:rsidR="001538E9" w:rsidRPr="00671B7C" w:rsidRDefault="001538E9" w:rsidP="001538E9">
      <w:pPr>
        <w:pStyle w:val="a4"/>
        <w:numPr>
          <w:ilvl w:val="0"/>
          <w:numId w:val="1"/>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Філософське осмислення сучасних екологічних проблем.</w:t>
      </w:r>
    </w:p>
    <w:p w:rsidR="001538E9" w:rsidRDefault="001538E9" w:rsidP="001538E9">
      <w:pPr>
        <w:spacing w:after="0" w:line="240" w:lineRule="auto"/>
        <w:jc w:val="center"/>
        <w:rPr>
          <w:rFonts w:ascii="Arial" w:hAnsi="Arial" w:cs="Arial"/>
          <w:b/>
          <w:sz w:val="28"/>
          <w:szCs w:val="28"/>
        </w:rPr>
      </w:pPr>
    </w:p>
    <w:p w:rsidR="001538E9" w:rsidRPr="00671B7C" w:rsidRDefault="001538E9" w:rsidP="001538E9">
      <w:pPr>
        <w:spacing w:after="0" w:line="240" w:lineRule="auto"/>
        <w:jc w:val="center"/>
        <w:rPr>
          <w:rFonts w:ascii="Arial" w:hAnsi="Arial" w:cs="Arial"/>
          <w:b/>
          <w:sz w:val="28"/>
          <w:szCs w:val="28"/>
        </w:rPr>
      </w:pPr>
      <w:r w:rsidRPr="00671B7C">
        <w:rPr>
          <w:rFonts w:ascii="Arial" w:hAnsi="Arial" w:cs="Arial"/>
          <w:b/>
          <w:sz w:val="28"/>
          <w:szCs w:val="28"/>
        </w:rPr>
        <w:t>Теми занять:</w:t>
      </w:r>
    </w:p>
    <w:p w:rsidR="001538E9" w:rsidRPr="00671B7C" w:rsidRDefault="001538E9" w:rsidP="001538E9">
      <w:pPr>
        <w:spacing w:after="0" w:line="240" w:lineRule="auto"/>
        <w:jc w:val="center"/>
        <w:rPr>
          <w:rFonts w:ascii="Arial" w:hAnsi="Arial" w:cs="Arial"/>
          <w:b/>
          <w:i/>
          <w:sz w:val="28"/>
          <w:szCs w:val="28"/>
        </w:rPr>
      </w:pPr>
      <w:r w:rsidRPr="00671B7C">
        <w:rPr>
          <w:rFonts w:ascii="Arial" w:hAnsi="Arial" w:cs="Arial"/>
          <w:b/>
          <w:i/>
          <w:sz w:val="28"/>
          <w:szCs w:val="28"/>
        </w:rPr>
        <w:t>(семінарських,</w:t>
      </w:r>
      <w:r>
        <w:rPr>
          <w:rFonts w:ascii="Arial" w:hAnsi="Arial" w:cs="Arial"/>
          <w:b/>
          <w:i/>
          <w:sz w:val="28"/>
          <w:szCs w:val="28"/>
        </w:rPr>
        <w:t xml:space="preserve"> </w:t>
      </w:r>
      <w:r w:rsidRPr="00671B7C">
        <w:rPr>
          <w:rFonts w:ascii="Arial" w:hAnsi="Arial" w:cs="Arial"/>
          <w:b/>
          <w:i/>
          <w:sz w:val="28"/>
          <w:szCs w:val="28"/>
        </w:rPr>
        <w:t xml:space="preserve">практичних, лабораторних) </w:t>
      </w:r>
    </w:p>
    <w:p w:rsidR="001538E9" w:rsidRPr="00671B7C" w:rsidRDefault="001538E9" w:rsidP="001538E9">
      <w:pPr>
        <w:pStyle w:val="a4"/>
        <w:numPr>
          <w:ilvl w:val="0"/>
          <w:numId w:val="2"/>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Предмет і значення філософії науки.</w:t>
      </w:r>
    </w:p>
    <w:p w:rsidR="001538E9" w:rsidRPr="00671B7C" w:rsidRDefault="001538E9" w:rsidP="001538E9">
      <w:pPr>
        <w:pStyle w:val="a4"/>
        <w:numPr>
          <w:ilvl w:val="0"/>
          <w:numId w:val="2"/>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Історія науки.</w:t>
      </w:r>
    </w:p>
    <w:p w:rsidR="001538E9" w:rsidRPr="00671B7C" w:rsidRDefault="001538E9" w:rsidP="001538E9">
      <w:pPr>
        <w:pStyle w:val="a4"/>
        <w:numPr>
          <w:ilvl w:val="0"/>
          <w:numId w:val="2"/>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Наука як особливий тип знання</w:t>
      </w:r>
    </w:p>
    <w:p w:rsidR="001538E9" w:rsidRPr="00671B7C" w:rsidRDefault="001538E9" w:rsidP="001538E9">
      <w:pPr>
        <w:pStyle w:val="a4"/>
        <w:numPr>
          <w:ilvl w:val="0"/>
          <w:numId w:val="2"/>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Наука як спеціально організований пізнавальний процес.</w:t>
      </w:r>
    </w:p>
    <w:p w:rsidR="001538E9" w:rsidRPr="00671B7C" w:rsidRDefault="001538E9" w:rsidP="001538E9">
      <w:pPr>
        <w:pStyle w:val="a4"/>
        <w:numPr>
          <w:ilvl w:val="0"/>
          <w:numId w:val="2"/>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Наука як соціальний інститут</w:t>
      </w:r>
    </w:p>
    <w:p w:rsidR="001538E9" w:rsidRPr="00671B7C" w:rsidRDefault="001538E9" w:rsidP="001538E9">
      <w:pPr>
        <w:pStyle w:val="a4"/>
        <w:numPr>
          <w:ilvl w:val="0"/>
          <w:numId w:val="2"/>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Етичні проблеми науки.</w:t>
      </w:r>
    </w:p>
    <w:p w:rsidR="001538E9" w:rsidRPr="00671B7C" w:rsidRDefault="001538E9" w:rsidP="001538E9">
      <w:pPr>
        <w:pStyle w:val="a4"/>
        <w:numPr>
          <w:ilvl w:val="0"/>
          <w:numId w:val="2"/>
        </w:numPr>
        <w:tabs>
          <w:tab w:val="left" w:pos="1134"/>
        </w:tabs>
        <w:spacing w:after="0" w:line="240" w:lineRule="auto"/>
        <w:ind w:left="0" w:firstLine="709"/>
        <w:jc w:val="both"/>
        <w:rPr>
          <w:rFonts w:ascii="Arial" w:hAnsi="Arial" w:cs="Arial"/>
          <w:sz w:val="28"/>
          <w:szCs w:val="28"/>
        </w:rPr>
      </w:pPr>
      <w:r w:rsidRPr="00671B7C">
        <w:rPr>
          <w:rFonts w:ascii="Arial" w:hAnsi="Arial" w:cs="Arial"/>
          <w:sz w:val="28"/>
          <w:szCs w:val="28"/>
        </w:rPr>
        <w:t>Наука та бізнес</w:t>
      </w:r>
      <w:r w:rsidRPr="00671B7C">
        <w:rPr>
          <w:rFonts w:ascii="Arial" w:hAnsi="Arial" w:cs="Arial"/>
          <w:bCs/>
          <w:color w:val="000000"/>
          <w:spacing w:val="-4"/>
          <w:sz w:val="28"/>
          <w:szCs w:val="28"/>
        </w:rPr>
        <w:t>.</w:t>
      </w:r>
    </w:p>
    <w:p w:rsidR="00936EAF" w:rsidRDefault="00936EAF" w:rsidP="001538E9">
      <w:pPr>
        <w:spacing w:after="0" w:line="240" w:lineRule="auto"/>
      </w:pPr>
    </w:p>
    <w:sectPr w:rsidR="00936EAF" w:rsidSect="001538E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934"/>
    <w:multiLevelType w:val="hybridMultilevel"/>
    <w:tmpl w:val="E5EE5BDA"/>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0740C3"/>
    <w:multiLevelType w:val="hybridMultilevel"/>
    <w:tmpl w:val="4F143FFC"/>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23"/>
    <w:rsid w:val="001538E9"/>
    <w:rsid w:val="00936EAF"/>
    <w:rsid w:val="009C32B9"/>
    <w:rsid w:val="009F1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F7D3"/>
  <w15:chartTrackingRefBased/>
  <w15:docId w15:val="{CAEF0337-2FDE-4CE3-928F-0F7BA5C3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8E9"/>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38E9"/>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38E9"/>
    <w:pPr>
      <w:spacing w:after="200" w:line="276" w:lineRule="auto"/>
      <w:ind w:left="720"/>
      <w:contextualSpacing/>
    </w:pPr>
  </w:style>
  <w:style w:type="paragraph" w:customStyle="1" w:styleId="FR1">
    <w:name w:val="FR1"/>
    <w:rsid w:val="001538E9"/>
    <w:pPr>
      <w:widowControl w:val="0"/>
      <w:overflowPunct w:val="0"/>
      <w:autoSpaceDE w:val="0"/>
      <w:autoSpaceDN w:val="0"/>
      <w:adjustRightInd w:val="0"/>
      <w:spacing w:before="680" w:after="0" w:line="240" w:lineRule="auto"/>
      <w:ind w:left="2840"/>
      <w:textAlignment w:val="baseline"/>
    </w:pPr>
    <w:rPr>
      <w:rFonts w:ascii="Times New Roman" w:eastAsia="Times New Roman" w:hAnsi="Times New Roman" w:cs="Times New Roman"/>
      <w:b/>
      <w:sz w:val="32"/>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2020-10-15T06:42:00Z</dcterms:created>
  <dcterms:modified xsi:type="dcterms:W3CDTF">2020-10-16T08:08:00Z</dcterms:modified>
</cp:coreProperties>
</file>