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</w:pPr>
      <w:r w:rsidRPr="007278FB"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>АДАПТИВНІ СИСТЕМИ МАШИНОВИКОРИСТАННЯ У РОСЛИННИЦТВІ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Кафедра технічного сервісу та інженерного менеджменту імені М. П. </w:t>
      </w:r>
      <w:proofErr w:type="spellStart"/>
      <w:r w:rsidRPr="007278FB">
        <w:rPr>
          <w:rFonts w:eastAsia="Calibri" w:cs="Times New Roman"/>
          <w:b/>
          <w:sz w:val="24"/>
          <w:szCs w:val="24"/>
        </w:rPr>
        <w:t>Момотенка</w:t>
      </w:r>
      <w:proofErr w:type="spellEnd"/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 xml:space="preserve">Факультет/ННІ </w:t>
      </w:r>
      <w:r w:rsidRPr="00B53C6D">
        <w:rPr>
          <w:rFonts w:eastAsia="Calibri" w:cs="Times New Roman"/>
          <w:b/>
          <w:sz w:val="24"/>
          <w:szCs w:val="24"/>
        </w:rPr>
        <w:t>механіко-технологічний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Войтюк</w:t>
            </w:r>
            <w:proofErr w:type="spellEnd"/>
            <w:r w:rsidRPr="007278FB">
              <w:rPr>
                <w:rFonts w:ascii="Times New Roman" w:hAnsi="Times New Roman"/>
                <w:b/>
                <w:sz w:val="24"/>
                <w:szCs w:val="24"/>
              </w:rPr>
              <w:t xml:space="preserve"> Валерій Дмитрович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278FB" w:rsidRPr="007278FB" w:rsidRDefault="007278F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Розробка фундаментальних, фундаментально-прикладних і прикладних проблем, а також сучасних і перспективних технологій землеробства та рослинництва потребують врахування агроекологічних основ. Адаптивне землеробство та адаптивне рослинництво теоретично визначаються дуже широко. Їхню адаптивність можна відносити до окремих об'єктів або різних їх сукупностей у ланках або ланцюгах: рослина – </w:t>
      </w:r>
      <w:proofErr w:type="spellStart"/>
      <w:r w:rsidRPr="007278FB">
        <w:rPr>
          <w:rFonts w:eastAsia="Calibri" w:cs="Times New Roman"/>
          <w:sz w:val="24"/>
          <w:szCs w:val="24"/>
        </w:rPr>
        <w:t>грунт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– рослинний покрив – </w:t>
      </w:r>
      <w:proofErr w:type="spellStart"/>
      <w:r w:rsidRPr="007278FB">
        <w:rPr>
          <w:rFonts w:eastAsia="Calibri" w:cs="Times New Roman"/>
          <w:sz w:val="24"/>
          <w:szCs w:val="24"/>
        </w:rPr>
        <w:t>агроекосистема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– </w:t>
      </w:r>
      <w:proofErr w:type="spellStart"/>
      <w:r w:rsidRPr="007278FB">
        <w:rPr>
          <w:rFonts w:eastAsia="Calibri" w:cs="Times New Roman"/>
          <w:sz w:val="24"/>
          <w:szCs w:val="24"/>
        </w:rPr>
        <w:t>агроурочище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– ділянка ландшафту – біосфера. В багатоцільовому екологічному обґрунтуванні сучасного та майбутнього рослинництва та землеробства розвивається уявлення про їхню адаптивність. Розуміння </w:t>
      </w:r>
      <w:proofErr w:type="spellStart"/>
      <w:r w:rsidRPr="007278FB">
        <w:rPr>
          <w:rFonts w:eastAsia="Calibri" w:cs="Times New Roman"/>
          <w:sz w:val="24"/>
          <w:szCs w:val="24"/>
        </w:rPr>
        <w:t>адаптаціогенезу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в еколого-генетичному й еволюційному аспектах у даний час доповнено кібернетичними концепціями адаптивності не тільки у відношенні організмів, але й будь-яких біосистем.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Адаптація пояснюється як: </w:t>
      </w:r>
      <w:r w:rsidRPr="007278FB">
        <w:rPr>
          <w:rFonts w:eastAsia="Calibri" w:cs="Times New Roman"/>
          <w:sz w:val="24"/>
          <w:szCs w:val="24"/>
        </w:rPr>
        <w:noBreakHyphen/>
        <w:t xml:space="preserve"> ознака, властивість, якість, стан, явище, або процес які відбивають закономірності збереження та розвитку будь-яких систем на фоні взаємодії внутрішніх і зовнішніх факторів їхнього існування; </w:t>
      </w:r>
      <w:r w:rsidRPr="007278FB">
        <w:rPr>
          <w:rFonts w:eastAsia="Calibri" w:cs="Times New Roman"/>
          <w:sz w:val="24"/>
          <w:szCs w:val="24"/>
        </w:rPr>
        <w:noBreakHyphen/>
        <w:t xml:space="preserve"> цілісна система реакцій організмів, популяцій, видів, екологічних систем, яка визначає динамічну рівновагу в тих або інших умовах середовища, тобто гомеостаз, або збереження загального напрямку процесів і еволюцій за зміни середовища – </w:t>
      </w:r>
      <w:proofErr w:type="spellStart"/>
      <w:r w:rsidRPr="007278FB">
        <w:rPr>
          <w:rFonts w:eastAsia="Calibri" w:cs="Times New Roman"/>
          <w:sz w:val="24"/>
          <w:szCs w:val="24"/>
        </w:rPr>
        <w:t>гомеорез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; </w:t>
      </w:r>
      <w:r w:rsidRPr="007278FB">
        <w:rPr>
          <w:rFonts w:eastAsia="Calibri" w:cs="Times New Roman"/>
          <w:sz w:val="24"/>
          <w:szCs w:val="24"/>
        </w:rPr>
        <w:noBreakHyphen/>
        <w:t xml:space="preserve"> процес цілеспрямованої само зміни системи, що дозволяє досягти їй кращого або, </w:t>
      </w:r>
      <w:proofErr w:type="spellStart"/>
      <w:r w:rsidRPr="007278FB">
        <w:rPr>
          <w:rFonts w:eastAsia="Calibri" w:cs="Times New Roman"/>
          <w:sz w:val="24"/>
          <w:szCs w:val="24"/>
        </w:rPr>
        <w:t>принаймі</w:t>
      </w:r>
      <w:proofErr w:type="spellEnd"/>
      <w:r w:rsidRPr="007278FB">
        <w:rPr>
          <w:rFonts w:eastAsia="Calibri" w:cs="Times New Roman"/>
          <w:sz w:val="24"/>
          <w:szCs w:val="24"/>
        </w:rPr>
        <w:t>, прийнятного функціонування за таких умов середовища, що змінюються.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В основі всіх адаптаційних можливостей рослин лежить загальний біологічний закон </w:t>
      </w:r>
      <w:r w:rsidRPr="007278FB">
        <w:rPr>
          <w:rFonts w:eastAsia="Calibri" w:cs="Times New Roman"/>
          <w:sz w:val="24"/>
          <w:szCs w:val="24"/>
        </w:rPr>
        <w:noBreakHyphen/>
        <w:t xml:space="preserve"> кожен живий організм повинен залишити після себе (за будь-яких умов) життєздатне потомство.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>Знання - організаційні форми використання машинної техніки в рослинництві; - тягово-експлуатаційні розрахунки, необхідні для раціонального комплектування машинно-тракторних агрегатів; - технологію механізованих робіт з обов’язковим дотриманням вимог по екології навколишнього середовища; - основи технічної експлуатації машинно-тракторного парку.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Вміння вибрати машину чи знаряддя для виконання відповідної технологічної операції у відповідності з агротехнічними вимогами; - раціонально комплектувати машинно-тракторний парк, досягаючи найвищої його продуктивності при високій якості результатів; - складати розрахунково-технологічні карти на виконання механізованих сільськогосподарських робіт; - розраховувати кількість пального і мастильних матеріалів для конкретного машинно-тракторного агрегату та їх загальну потребу для виконання виробничої програми по господарству; - формулювати правила техніки безпеки та промислової санітарії; - користуватись нормативними та довідковими матеріалами з питань </w:t>
      </w:r>
      <w:proofErr w:type="spellStart"/>
      <w:r w:rsidRPr="007278FB">
        <w:rPr>
          <w:rFonts w:eastAsia="Calibri" w:cs="Times New Roman"/>
          <w:sz w:val="24"/>
          <w:szCs w:val="24"/>
        </w:rPr>
        <w:t>машинновикористання</w:t>
      </w:r>
      <w:proofErr w:type="spellEnd"/>
      <w:r w:rsidRPr="007278FB">
        <w:rPr>
          <w:rFonts w:eastAsia="Calibri" w:cs="Times New Roman"/>
          <w:sz w:val="24"/>
          <w:szCs w:val="24"/>
        </w:rPr>
        <w:t>.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Теми лекцій: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Поняття про адаптацію рослин. Адаптивна стратегія рослинництва. Формування адаптивної структури посіву.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lastRenderedPageBreak/>
        <w:t xml:space="preserve">Експлуатаційні характеристики тракторів. 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Експлуатаційно-технологічні характеристики сільськогосподарських машин, які використовуються у рослинництві. 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Експлуатаційна характеристика транспортних засобів.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Організація роботи машинно-тракторних агрегатів в рослинництві. 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Розрахунок експлуатаційних показників машинно- тракторного парку і планування його роботи.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Особливості догляду за сільськогосподарськими культурами, та технічні засоби в рослинництві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Особливості сівби і садіння в насінництві та технічні засоби в рослинництві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Теми занять: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i/>
          <w:sz w:val="24"/>
          <w:szCs w:val="24"/>
        </w:rPr>
      </w:pPr>
      <w:r w:rsidRPr="007278FB">
        <w:rPr>
          <w:rFonts w:eastAsia="Calibri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Загальна характеристика тракторів. Рушійна сила трактора. Сила тяги трактора.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Технологічна здатність машини. Якість роботи машини. Тяговий опір сільськогосподарських машин.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Ширина захвату. Швидкість руху. Універсальність машини.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proofErr w:type="spellStart"/>
      <w:r w:rsidRPr="007278FB">
        <w:rPr>
          <w:rFonts w:eastAsia="Calibri" w:cs="Times New Roman"/>
          <w:sz w:val="22"/>
        </w:rPr>
        <w:t>Комбінованість</w:t>
      </w:r>
      <w:proofErr w:type="spellEnd"/>
      <w:r w:rsidRPr="007278FB">
        <w:rPr>
          <w:rFonts w:eastAsia="Calibri" w:cs="Times New Roman"/>
          <w:sz w:val="22"/>
        </w:rPr>
        <w:t xml:space="preserve"> машин та агрегатів. Запас ходу машини.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Прохідність і маневреність МТА. Зручність технологічного обслуговування.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Специфіка навантажувально-транспортних робіт. Характеристика транспортних засобів.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Експлуатаційні властивості транспортних засобів.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Методи визначення складу машинно-тракторного парку.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Складання і розрахунок зведеного плану польових робіт бригади (ланки).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Побудова графіка використання машин.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Організаційні форми використання техніки.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Показники машино використання.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Методи визначення складу машинно-тракторного парку.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Складання і розрахунок зведеного плану польових робіт бригади (ланки).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Підготовка машин для внесення добрив та гербіцидів під час обробітку ґрунту.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Підготовка машин для сівби і садіння. </w:t>
      </w:r>
    </w:p>
    <w:p w:rsidR="007278FB" w:rsidRPr="007278FB" w:rsidRDefault="007278FB" w:rsidP="007278FB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7278FB" w:rsidRPr="00B53C6D" w:rsidRDefault="007278FB" w:rsidP="00B53C6D">
      <w:pPr>
        <w:spacing w:after="0" w:line="240" w:lineRule="auto"/>
        <w:rPr>
          <w:rFonts w:ascii="Calibri" w:eastAsia="Calibri" w:hAnsi="Calibri" w:cs="Times New Roman"/>
          <w:sz w:val="22"/>
        </w:rPr>
      </w:pPr>
      <w:bookmarkStart w:id="0" w:name="_GoBack"/>
      <w:bookmarkEnd w:id="0"/>
    </w:p>
    <w:sectPr w:rsidR="007278FB" w:rsidRP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33525F"/>
    <w:rsid w:val="007278FB"/>
    <w:rsid w:val="00B53C6D"/>
    <w:rsid w:val="00BE7289"/>
    <w:rsid w:val="00DA44D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EEB12-5E24-49C5-BA7A-B93515D8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2</cp:revision>
  <dcterms:created xsi:type="dcterms:W3CDTF">2020-10-08T07:59:00Z</dcterms:created>
  <dcterms:modified xsi:type="dcterms:W3CDTF">2020-10-09T11:33:00Z</dcterms:modified>
</cp:coreProperties>
</file>