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39" w:rsidRDefault="00756A39" w:rsidP="00756A39">
      <w:pPr>
        <w:jc w:val="center"/>
        <w:rPr>
          <w:rFonts w:ascii="Arial" w:hAnsi="Arial" w:cs="Arial"/>
          <w:b/>
          <w:sz w:val="28"/>
          <w:szCs w:val="28"/>
          <w:lang w:val="uk-UA"/>
        </w:rPr>
      </w:pPr>
      <w:r w:rsidRPr="00756A39">
        <w:rPr>
          <w:rFonts w:ascii="Arial" w:hAnsi="Arial" w:cs="Arial"/>
          <w:b/>
          <w:sz w:val="28"/>
          <w:szCs w:val="28"/>
          <w:lang w:val="uk-UA"/>
        </w:rPr>
        <w:t>МІФИ ТА УРОКИ ЧОРНОБИЛЯ</w:t>
      </w:r>
    </w:p>
    <w:p w:rsidR="00756A39" w:rsidRPr="00756A39" w:rsidRDefault="00756A39" w:rsidP="00756A39">
      <w:pPr>
        <w:jc w:val="center"/>
        <w:rPr>
          <w:rFonts w:ascii="Arial" w:hAnsi="Arial" w:cs="Arial"/>
          <w:b/>
          <w:sz w:val="28"/>
          <w:szCs w:val="28"/>
          <w:lang w:val="uk-UA"/>
        </w:rPr>
      </w:pPr>
    </w:p>
    <w:p w:rsidR="00756A39" w:rsidRDefault="00756A39" w:rsidP="00756A39">
      <w:pPr>
        <w:jc w:val="center"/>
        <w:rPr>
          <w:rFonts w:ascii="Arial" w:hAnsi="Arial" w:cs="Arial"/>
          <w:b/>
          <w:sz w:val="28"/>
          <w:szCs w:val="28"/>
          <w:lang w:val="uk-UA"/>
        </w:rPr>
      </w:pPr>
      <w:r w:rsidRPr="00756A39">
        <w:rPr>
          <w:rFonts w:ascii="Arial" w:hAnsi="Arial" w:cs="Arial"/>
          <w:b/>
          <w:sz w:val="28"/>
          <w:szCs w:val="28"/>
          <w:lang w:val="uk-UA"/>
        </w:rPr>
        <w:t xml:space="preserve">Кафедра загальної екології, радіобіології </w:t>
      </w:r>
      <w:r>
        <w:rPr>
          <w:rFonts w:ascii="Arial" w:hAnsi="Arial" w:cs="Arial"/>
          <w:b/>
          <w:sz w:val="28"/>
          <w:szCs w:val="28"/>
          <w:lang w:val="uk-UA"/>
        </w:rPr>
        <w:t>і безпеки життєдіяльності</w:t>
      </w:r>
    </w:p>
    <w:p w:rsidR="00756A39" w:rsidRPr="00756A39" w:rsidRDefault="00756A39" w:rsidP="00756A39">
      <w:pPr>
        <w:jc w:val="center"/>
        <w:rPr>
          <w:rFonts w:ascii="Arial" w:hAnsi="Arial" w:cs="Arial"/>
          <w:b/>
          <w:sz w:val="28"/>
          <w:szCs w:val="28"/>
          <w:lang w:val="uk-UA"/>
        </w:rPr>
      </w:pPr>
    </w:p>
    <w:p w:rsidR="00756A39" w:rsidRPr="00756A39" w:rsidRDefault="00756A39" w:rsidP="00756A39">
      <w:pPr>
        <w:jc w:val="center"/>
        <w:rPr>
          <w:rFonts w:ascii="Arial" w:hAnsi="Arial" w:cs="Arial"/>
          <w:b/>
          <w:sz w:val="28"/>
          <w:szCs w:val="28"/>
          <w:lang w:val="uk-UA"/>
        </w:rPr>
      </w:pPr>
      <w:r w:rsidRPr="00756A39">
        <w:rPr>
          <w:rFonts w:ascii="Arial" w:hAnsi="Arial" w:cs="Arial"/>
          <w:b/>
          <w:sz w:val="28"/>
          <w:szCs w:val="28"/>
          <w:lang w:val="uk-UA"/>
        </w:rPr>
        <w:t>Факультет захисту рослин, біотехнологій та екології</w:t>
      </w:r>
    </w:p>
    <w:p w:rsidR="00756A39" w:rsidRPr="00756A39" w:rsidRDefault="00756A39" w:rsidP="00756A39">
      <w:pPr>
        <w:ind w:firstLine="709"/>
        <w:jc w:val="both"/>
        <w:rPr>
          <w:rFonts w:ascii="Arial" w:hAnsi="Arial" w:cs="Arial"/>
          <w:b/>
          <w:sz w:val="28"/>
          <w:szCs w:val="28"/>
          <w:lang w:val="uk-UA"/>
        </w:rPr>
      </w:pPr>
    </w:p>
    <w:tbl>
      <w:tblPr>
        <w:tblW w:w="10054" w:type="dxa"/>
        <w:tblLook w:val="00A0" w:firstRow="1" w:lastRow="0" w:firstColumn="1" w:lastColumn="0" w:noHBand="0" w:noVBand="0"/>
      </w:tblPr>
      <w:tblGrid>
        <w:gridCol w:w="4111"/>
        <w:gridCol w:w="5943"/>
      </w:tblGrid>
      <w:tr w:rsidR="00756A39" w:rsidRPr="00756A39" w:rsidTr="00756A39">
        <w:tc>
          <w:tcPr>
            <w:tcW w:w="4111" w:type="dxa"/>
            <w:vAlign w:val="center"/>
          </w:tcPr>
          <w:p w:rsidR="00756A39" w:rsidRPr="00756A39" w:rsidRDefault="00756A39" w:rsidP="00756A39">
            <w:pPr>
              <w:jc w:val="both"/>
              <w:rPr>
                <w:rFonts w:ascii="Arial" w:hAnsi="Arial" w:cs="Arial"/>
                <w:b/>
                <w:i/>
                <w:sz w:val="28"/>
                <w:szCs w:val="28"/>
                <w:lang w:val="uk-UA"/>
              </w:rPr>
            </w:pPr>
            <w:r w:rsidRPr="00756A39">
              <w:rPr>
                <w:rFonts w:ascii="Arial" w:hAnsi="Arial" w:cs="Arial"/>
                <w:b/>
                <w:i/>
                <w:sz w:val="28"/>
                <w:szCs w:val="28"/>
                <w:lang w:val="uk-UA"/>
              </w:rPr>
              <w:t>Лектор</w:t>
            </w:r>
          </w:p>
        </w:tc>
        <w:tc>
          <w:tcPr>
            <w:tcW w:w="5943" w:type="dxa"/>
            <w:vAlign w:val="center"/>
          </w:tcPr>
          <w:p w:rsidR="00756A39" w:rsidRPr="00756A39" w:rsidRDefault="00756A39" w:rsidP="00756A39">
            <w:pPr>
              <w:jc w:val="both"/>
              <w:rPr>
                <w:rFonts w:ascii="Arial" w:hAnsi="Arial" w:cs="Arial"/>
                <w:b/>
                <w:sz w:val="28"/>
                <w:szCs w:val="28"/>
                <w:lang w:val="uk-UA"/>
              </w:rPr>
            </w:pPr>
            <w:r>
              <w:rPr>
                <w:rFonts w:ascii="Arial" w:hAnsi="Arial" w:cs="Arial"/>
                <w:b/>
                <w:sz w:val="28"/>
                <w:szCs w:val="28"/>
                <w:lang w:val="uk-UA"/>
              </w:rPr>
              <w:t>д</w:t>
            </w:r>
            <w:r w:rsidRPr="00756A39">
              <w:rPr>
                <w:rFonts w:ascii="Arial" w:hAnsi="Arial" w:cs="Arial"/>
                <w:b/>
                <w:sz w:val="28"/>
                <w:szCs w:val="28"/>
                <w:lang w:val="uk-UA"/>
              </w:rPr>
              <w:t>оцент Лазарєв М.М., доцент Клепко А.В.</w:t>
            </w:r>
          </w:p>
        </w:tc>
      </w:tr>
      <w:tr w:rsidR="00756A39" w:rsidRPr="00756A39" w:rsidTr="00756A39">
        <w:tc>
          <w:tcPr>
            <w:tcW w:w="4111" w:type="dxa"/>
            <w:vAlign w:val="center"/>
          </w:tcPr>
          <w:p w:rsidR="00756A39" w:rsidRPr="00756A39" w:rsidRDefault="00756A39" w:rsidP="00756A39">
            <w:pPr>
              <w:jc w:val="both"/>
              <w:rPr>
                <w:rFonts w:ascii="Arial" w:hAnsi="Arial" w:cs="Arial"/>
                <w:b/>
                <w:i/>
                <w:sz w:val="28"/>
                <w:szCs w:val="28"/>
                <w:lang w:val="uk-UA"/>
              </w:rPr>
            </w:pPr>
            <w:r w:rsidRPr="00756A39">
              <w:rPr>
                <w:rFonts w:ascii="Arial" w:hAnsi="Arial" w:cs="Arial"/>
                <w:b/>
                <w:i/>
                <w:sz w:val="28"/>
                <w:szCs w:val="28"/>
                <w:lang w:val="uk-UA"/>
              </w:rPr>
              <w:t>Семестр</w:t>
            </w:r>
          </w:p>
        </w:tc>
        <w:tc>
          <w:tcPr>
            <w:tcW w:w="5943" w:type="dxa"/>
            <w:vAlign w:val="center"/>
          </w:tcPr>
          <w:p w:rsidR="00756A39" w:rsidRPr="00756A39" w:rsidRDefault="00756A39" w:rsidP="00756A39">
            <w:pPr>
              <w:jc w:val="both"/>
              <w:rPr>
                <w:rFonts w:ascii="Arial" w:hAnsi="Arial" w:cs="Arial"/>
                <w:b/>
                <w:sz w:val="28"/>
                <w:szCs w:val="28"/>
                <w:lang w:val="uk-UA"/>
              </w:rPr>
            </w:pPr>
            <w:r w:rsidRPr="00756A39">
              <w:rPr>
                <w:rFonts w:ascii="Arial" w:hAnsi="Arial" w:cs="Arial"/>
                <w:b/>
                <w:sz w:val="28"/>
                <w:szCs w:val="28"/>
                <w:lang w:val="uk-UA"/>
              </w:rPr>
              <w:t>2</w:t>
            </w:r>
          </w:p>
        </w:tc>
      </w:tr>
      <w:tr w:rsidR="00756A39" w:rsidRPr="00756A39" w:rsidTr="00756A39">
        <w:tc>
          <w:tcPr>
            <w:tcW w:w="4111" w:type="dxa"/>
            <w:vAlign w:val="center"/>
          </w:tcPr>
          <w:p w:rsidR="00756A39" w:rsidRPr="00756A39" w:rsidRDefault="00756A39" w:rsidP="00756A39">
            <w:pPr>
              <w:jc w:val="both"/>
              <w:rPr>
                <w:rFonts w:ascii="Arial" w:hAnsi="Arial" w:cs="Arial"/>
                <w:b/>
                <w:i/>
                <w:sz w:val="28"/>
                <w:szCs w:val="28"/>
                <w:lang w:val="uk-UA"/>
              </w:rPr>
            </w:pPr>
            <w:r w:rsidRPr="00756A39">
              <w:rPr>
                <w:rFonts w:ascii="Arial" w:hAnsi="Arial" w:cs="Arial"/>
                <w:b/>
                <w:i/>
                <w:sz w:val="28"/>
                <w:szCs w:val="28"/>
                <w:lang w:val="uk-UA"/>
              </w:rPr>
              <w:t>Освітній ступінь</w:t>
            </w:r>
          </w:p>
        </w:tc>
        <w:tc>
          <w:tcPr>
            <w:tcW w:w="5943" w:type="dxa"/>
            <w:vAlign w:val="center"/>
          </w:tcPr>
          <w:p w:rsidR="00756A39" w:rsidRPr="00756A39" w:rsidRDefault="00756A39" w:rsidP="00756A39">
            <w:pPr>
              <w:jc w:val="both"/>
              <w:rPr>
                <w:rFonts w:ascii="Arial" w:hAnsi="Arial" w:cs="Arial"/>
                <w:b/>
                <w:sz w:val="28"/>
                <w:szCs w:val="28"/>
                <w:lang w:val="uk-UA"/>
              </w:rPr>
            </w:pPr>
            <w:r w:rsidRPr="00756A39">
              <w:rPr>
                <w:rFonts w:ascii="Arial" w:hAnsi="Arial" w:cs="Arial"/>
                <w:b/>
                <w:sz w:val="28"/>
                <w:szCs w:val="28"/>
                <w:lang w:val="uk-UA"/>
              </w:rPr>
              <w:t>Магістр</w:t>
            </w:r>
          </w:p>
        </w:tc>
      </w:tr>
      <w:tr w:rsidR="00756A39" w:rsidRPr="00756A39" w:rsidTr="00756A39">
        <w:tc>
          <w:tcPr>
            <w:tcW w:w="4111" w:type="dxa"/>
            <w:vAlign w:val="center"/>
          </w:tcPr>
          <w:p w:rsidR="00756A39" w:rsidRPr="00756A39" w:rsidRDefault="00756A39" w:rsidP="00756A39">
            <w:pPr>
              <w:jc w:val="both"/>
              <w:rPr>
                <w:rFonts w:ascii="Arial" w:hAnsi="Arial" w:cs="Arial"/>
                <w:b/>
                <w:i/>
                <w:sz w:val="28"/>
                <w:szCs w:val="28"/>
                <w:lang w:val="uk-UA"/>
              </w:rPr>
            </w:pPr>
            <w:r w:rsidRPr="00756A39">
              <w:rPr>
                <w:rFonts w:ascii="Arial" w:hAnsi="Arial" w:cs="Arial"/>
                <w:b/>
                <w:i/>
                <w:sz w:val="28"/>
                <w:szCs w:val="28"/>
                <w:lang w:val="uk-UA"/>
              </w:rPr>
              <w:t>Кількість кредитів ЄКТС</w:t>
            </w:r>
          </w:p>
        </w:tc>
        <w:tc>
          <w:tcPr>
            <w:tcW w:w="5943" w:type="dxa"/>
            <w:vAlign w:val="center"/>
          </w:tcPr>
          <w:p w:rsidR="00756A39" w:rsidRPr="00756A39" w:rsidRDefault="00756A39" w:rsidP="00756A39">
            <w:pPr>
              <w:jc w:val="both"/>
              <w:rPr>
                <w:rFonts w:ascii="Arial" w:hAnsi="Arial" w:cs="Arial"/>
                <w:b/>
                <w:sz w:val="28"/>
                <w:szCs w:val="28"/>
                <w:lang w:val="uk-UA"/>
              </w:rPr>
            </w:pPr>
            <w:r w:rsidRPr="00756A39">
              <w:rPr>
                <w:rFonts w:ascii="Arial" w:hAnsi="Arial" w:cs="Arial"/>
                <w:b/>
                <w:sz w:val="28"/>
                <w:szCs w:val="28"/>
                <w:lang w:val="uk-UA"/>
              </w:rPr>
              <w:t>4</w:t>
            </w:r>
          </w:p>
        </w:tc>
      </w:tr>
      <w:tr w:rsidR="00756A39" w:rsidRPr="00756A39" w:rsidTr="00756A39">
        <w:tc>
          <w:tcPr>
            <w:tcW w:w="4111" w:type="dxa"/>
            <w:vAlign w:val="center"/>
          </w:tcPr>
          <w:p w:rsidR="00756A39" w:rsidRPr="00756A39" w:rsidRDefault="00756A39" w:rsidP="00756A39">
            <w:pPr>
              <w:jc w:val="both"/>
              <w:rPr>
                <w:rFonts w:ascii="Arial" w:hAnsi="Arial" w:cs="Arial"/>
                <w:b/>
                <w:i/>
                <w:sz w:val="28"/>
                <w:szCs w:val="28"/>
                <w:lang w:val="uk-UA"/>
              </w:rPr>
            </w:pPr>
            <w:r w:rsidRPr="00756A39">
              <w:rPr>
                <w:rFonts w:ascii="Arial" w:hAnsi="Arial" w:cs="Arial"/>
                <w:b/>
                <w:i/>
                <w:sz w:val="28"/>
                <w:szCs w:val="28"/>
                <w:lang w:val="uk-UA"/>
              </w:rPr>
              <w:t>Форма контролю</w:t>
            </w:r>
          </w:p>
        </w:tc>
        <w:tc>
          <w:tcPr>
            <w:tcW w:w="5943" w:type="dxa"/>
            <w:vAlign w:val="center"/>
          </w:tcPr>
          <w:p w:rsidR="00756A39" w:rsidRPr="00756A39" w:rsidRDefault="00756A39" w:rsidP="00756A39">
            <w:pPr>
              <w:jc w:val="both"/>
              <w:rPr>
                <w:rFonts w:ascii="Arial" w:hAnsi="Arial" w:cs="Arial"/>
                <w:b/>
                <w:sz w:val="28"/>
                <w:szCs w:val="28"/>
                <w:lang w:val="uk-UA"/>
              </w:rPr>
            </w:pPr>
            <w:r w:rsidRPr="00756A39">
              <w:rPr>
                <w:rFonts w:ascii="Arial" w:hAnsi="Arial" w:cs="Arial"/>
                <w:b/>
                <w:sz w:val="28"/>
                <w:szCs w:val="28"/>
                <w:lang w:val="uk-UA"/>
              </w:rPr>
              <w:t>Екзамен</w:t>
            </w:r>
          </w:p>
        </w:tc>
      </w:tr>
      <w:tr w:rsidR="00756A39" w:rsidRPr="00756A39" w:rsidTr="00756A39">
        <w:tc>
          <w:tcPr>
            <w:tcW w:w="4111" w:type="dxa"/>
            <w:vAlign w:val="center"/>
          </w:tcPr>
          <w:p w:rsidR="00756A39" w:rsidRPr="00756A39" w:rsidRDefault="00756A39" w:rsidP="00756A39">
            <w:pPr>
              <w:jc w:val="both"/>
              <w:rPr>
                <w:rFonts w:ascii="Arial" w:hAnsi="Arial" w:cs="Arial"/>
                <w:b/>
                <w:i/>
                <w:sz w:val="28"/>
                <w:szCs w:val="28"/>
                <w:lang w:val="uk-UA"/>
              </w:rPr>
            </w:pPr>
            <w:r w:rsidRPr="00756A39">
              <w:rPr>
                <w:rFonts w:ascii="Arial" w:hAnsi="Arial" w:cs="Arial"/>
                <w:b/>
                <w:i/>
                <w:sz w:val="28"/>
                <w:szCs w:val="28"/>
                <w:lang w:val="uk-UA"/>
              </w:rPr>
              <w:t>Аудиторні години</w:t>
            </w:r>
          </w:p>
        </w:tc>
        <w:tc>
          <w:tcPr>
            <w:tcW w:w="5943" w:type="dxa"/>
            <w:vAlign w:val="center"/>
          </w:tcPr>
          <w:p w:rsidR="00756A39" w:rsidRPr="00756A39" w:rsidRDefault="00756A39" w:rsidP="00756A39">
            <w:pPr>
              <w:jc w:val="both"/>
              <w:rPr>
                <w:rFonts w:ascii="Arial" w:hAnsi="Arial" w:cs="Arial"/>
                <w:b/>
                <w:sz w:val="28"/>
                <w:szCs w:val="28"/>
                <w:lang w:val="uk-UA"/>
              </w:rPr>
            </w:pPr>
            <w:r w:rsidRPr="00756A39">
              <w:rPr>
                <w:rFonts w:ascii="Arial" w:hAnsi="Arial" w:cs="Arial"/>
                <w:b/>
                <w:sz w:val="28"/>
                <w:szCs w:val="28"/>
                <w:lang w:val="uk-UA"/>
              </w:rPr>
              <w:t>30 (15 год. лекцій, 15 год. практичних)</w:t>
            </w:r>
          </w:p>
        </w:tc>
      </w:tr>
    </w:tbl>
    <w:p w:rsidR="00756A39" w:rsidRPr="00756A39" w:rsidRDefault="00756A39" w:rsidP="00756A39">
      <w:pPr>
        <w:ind w:firstLine="709"/>
        <w:jc w:val="both"/>
        <w:rPr>
          <w:rFonts w:ascii="Arial" w:hAnsi="Arial" w:cs="Arial"/>
          <w:b/>
          <w:sz w:val="28"/>
          <w:szCs w:val="28"/>
          <w:lang w:val="uk-UA"/>
        </w:rPr>
      </w:pPr>
    </w:p>
    <w:p w:rsidR="00756A39" w:rsidRPr="00756A39" w:rsidRDefault="00756A39" w:rsidP="00756A39">
      <w:pPr>
        <w:ind w:firstLine="709"/>
        <w:jc w:val="center"/>
        <w:rPr>
          <w:rFonts w:ascii="Arial" w:hAnsi="Arial" w:cs="Arial"/>
          <w:i/>
          <w:sz w:val="28"/>
          <w:szCs w:val="28"/>
          <w:lang w:val="uk-UA"/>
        </w:rPr>
      </w:pPr>
      <w:r w:rsidRPr="00756A39">
        <w:rPr>
          <w:rFonts w:ascii="Arial" w:hAnsi="Arial" w:cs="Arial"/>
          <w:b/>
          <w:sz w:val="28"/>
          <w:szCs w:val="28"/>
          <w:lang w:val="uk-UA"/>
        </w:rPr>
        <w:t>Загальний опис дисципліни</w:t>
      </w:r>
    </w:p>
    <w:p w:rsidR="00756A39" w:rsidRPr="00756A39" w:rsidRDefault="00756A39" w:rsidP="00756A39">
      <w:pPr>
        <w:ind w:firstLine="709"/>
        <w:jc w:val="both"/>
        <w:rPr>
          <w:rFonts w:ascii="Arial" w:hAnsi="Arial" w:cs="Arial"/>
          <w:sz w:val="28"/>
          <w:szCs w:val="28"/>
          <w:lang w:val="uk-UA"/>
        </w:rPr>
      </w:pPr>
      <w:r w:rsidRPr="00756A39">
        <w:rPr>
          <w:rFonts w:ascii="Arial" w:hAnsi="Arial" w:cs="Arial"/>
          <w:sz w:val="28"/>
          <w:szCs w:val="28"/>
          <w:lang w:val="uk-UA"/>
        </w:rPr>
        <w:t>Події, що відбулися у 1986 році на ЧАЕС, набули масштабного обговорення на всіх можливих рівнях – у наукових колах, публічних – СМІ, політичних інтригах, тощо. Неоднозначна ситуація на політичному «олімпі» СРСР наприкінці 80-х років  породила багато дискусій з причин і наслідків радіаційної аварії на ЧАЕС. Обговорення великої кількості  інформації щодо радіаційної небезпеки, особливо серед непідготовленої публіки часто призводило до появи легенд, міфів, казок про «Чорнобиль». Інформація, що доходила до пересічних громадян, міцно засіла у свідомість людей і, нажаль, зберігається до сьогоднішнього дня у не зовсім коректному вигляді. За час після радіаційної аварії на ЧАЕС набуто багатогранного досвіду, отримано нову інформацію, проведено чисельні експерименти й дослідження, що дозволяють, у більшості випадків отримати об’єктивну картину «Чорнобильських» подій. Саме на розгляді таких питань і буде зосереджено увагу студентів.</w:t>
      </w:r>
    </w:p>
    <w:p w:rsidR="00756A39" w:rsidRPr="00756A39" w:rsidRDefault="00756A39" w:rsidP="00756A39">
      <w:pPr>
        <w:ind w:firstLine="709"/>
        <w:jc w:val="both"/>
        <w:rPr>
          <w:rFonts w:ascii="Arial" w:hAnsi="Arial" w:cs="Arial"/>
          <w:i/>
          <w:sz w:val="28"/>
          <w:szCs w:val="28"/>
          <w:lang w:val="uk-UA"/>
        </w:rPr>
      </w:pPr>
    </w:p>
    <w:p w:rsidR="00756A39" w:rsidRPr="00756A39" w:rsidRDefault="00756A39" w:rsidP="00756A39">
      <w:pPr>
        <w:ind w:firstLine="709"/>
        <w:jc w:val="center"/>
        <w:rPr>
          <w:rFonts w:ascii="Arial" w:hAnsi="Arial" w:cs="Arial"/>
          <w:b/>
          <w:sz w:val="28"/>
          <w:szCs w:val="28"/>
          <w:lang w:val="uk-UA"/>
        </w:rPr>
      </w:pPr>
      <w:r w:rsidRPr="00756A39">
        <w:rPr>
          <w:rFonts w:ascii="Arial" w:hAnsi="Arial" w:cs="Arial"/>
          <w:b/>
          <w:sz w:val="28"/>
          <w:szCs w:val="28"/>
          <w:lang w:val="uk-UA"/>
        </w:rPr>
        <w:t>Теми лекцій:</w:t>
      </w:r>
    </w:p>
    <w:p w:rsidR="00756A39" w:rsidRPr="00756A39" w:rsidRDefault="00756A39" w:rsidP="00756A39">
      <w:pPr>
        <w:pStyle w:val="a3"/>
        <w:numPr>
          <w:ilvl w:val="0"/>
          <w:numId w:val="1"/>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Історія створення ядерної зброї.</w:t>
      </w:r>
    </w:p>
    <w:p w:rsidR="00756A39" w:rsidRPr="00756A39" w:rsidRDefault="00756A39" w:rsidP="00756A39">
      <w:pPr>
        <w:pStyle w:val="a3"/>
        <w:numPr>
          <w:ilvl w:val="0"/>
          <w:numId w:val="1"/>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Типи реакторів та їх основні характеристики.</w:t>
      </w:r>
    </w:p>
    <w:p w:rsidR="00756A39" w:rsidRPr="00756A39" w:rsidRDefault="00756A39" w:rsidP="00756A39">
      <w:pPr>
        <w:pStyle w:val="a3"/>
        <w:numPr>
          <w:ilvl w:val="0"/>
          <w:numId w:val="1"/>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Відомі ядерні аварії, їх причини та наслідки.</w:t>
      </w:r>
    </w:p>
    <w:p w:rsidR="00756A39" w:rsidRPr="00756A39" w:rsidRDefault="00756A39" w:rsidP="00756A39">
      <w:pPr>
        <w:pStyle w:val="a3"/>
        <w:numPr>
          <w:ilvl w:val="0"/>
          <w:numId w:val="1"/>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Наслідки радіаційних аварій для аграрного виробництва (прогнози, міфи, реалії).</w:t>
      </w:r>
    </w:p>
    <w:p w:rsidR="00756A39" w:rsidRPr="00756A39" w:rsidRDefault="00756A39" w:rsidP="00756A39">
      <w:pPr>
        <w:pStyle w:val="a3"/>
        <w:numPr>
          <w:ilvl w:val="0"/>
          <w:numId w:val="1"/>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Медичні наслідки аварії на Чорнобильської АЕС (прогнози, міфи, реалії).</w:t>
      </w:r>
    </w:p>
    <w:p w:rsidR="00756A39" w:rsidRPr="00756A39" w:rsidRDefault="00756A39" w:rsidP="00756A39">
      <w:pPr>
        <w:pStyle w:val="a3"/>
        <w:numPr>
          <w:ilvl w:val="0"/>
          <w:numId w:val="1"/>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Напрями і перспективи розвитку ядерних технологій.</w:t>
      </w:r>
    </w:p>
    <w:p w:rsidR="00756A39" w:rsidRPr="00756A39" w:rsidRDefault="00756A39" w:rsidP="00756A39">
      <w:pPr>
        <w:pStyle w:val="a3"/>
        <w:numPr>
          <w:ilvl w:val="0"/>
          <w:numId w:val="1"/>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Досвід ліквідації наслідків Чорнобильської катастрофи.</w:t>
      </w:r>
    </w:p>
    <w:p w:rsidR="00756A39" w:rsidRPr="00756A39" w:rsidRDefault="00756A39" w:rsidP="00756A39">
      <w:pPr>
        <w:pStyle w:val="a3"/>
        <w:spacing w:after="0" w:line="240" w:lineRule="auto"/>
        <w:ind w:left="0" w:firstLine="709"/>
        <w:jc w:val="both"/>
        <w:rPr>
          <w:rFonts w:ascii="Arial" w:hAnsi="Arial" w:cs="Arial"/>
          <w:sz w:val="28"/>
          <w:szCs w:val="28"/>
        </w:rPr>
      </w:pPr>
    </w:p>
    <w:p w:rsidR="00756A39" w:rsidRPr="00756A39" w:rsidRDefault="00756A39" w:rsidP="00756A39">
      <w:pPr>
        <w:ind w:firstLine="709"/>
        <w:jc w:val="center"/>
        <w:rPr>
          <w:rFonts w:ascii="Arial" w:hAnsi="Arial" w:cs="Arial"/>
          <w:b/>
          <w:i/>
          <w:sz w:val="28"/>
          <w:szCs w:val="28"/>
          <w:lang w:val="uk-UA"/>
        </w:rPr>
      </w:pPr>
      <w:r w:rsidRPr="00756A39">
        <w:rPr>
          <w:rFonts w:ascii="Arial" w:hAnsi="Arial" w:cs="Arial"/>
          <w:b/>
          <w:sz w:val="28"/>
          <w:szCs w:val="28"/>
          <w:lang w:val="uk-UA"/>
        </w:rPr>
        <w:t xml:space="preserve">Теми </w:t>
      </w:r>
      <w:r>
        <w:rPr>
          <w:rFonts w:ascii="Arial" w:hAnsi="Arial" w:cs="Arial"/>
          <w:b/>
          <w:sz w:val="28"/>
          <w:szCs w:val="28"/>
          <w:lang w:val="uk-UA"/>
        </w:rPr>
        <w:t xml:space="preserve">практичних </w:t>
      </w:r>
      <w:r w:rsidRPr="00756A39">
        <w:rPr>
          <w:rFonts w:ascii="Arial" w:hAnsi="Arial" w:cs="Arial"/>
          <w:b/>
          <w:sz w:val="28"/>
          <w:szCs w:val="28"/>
          <w:lang w:val="uk-UA"/>
        </w:rPr>
        <w:t xml:space="preserve">занять: </w:t>
      </w:r>
    </w:p>
    <w:p w:rsidR="00756A39" w:rsidRPr="00756A39" w:rsidRDefault="00756A39" w:rsidP="00756A39">
      <w:pPr>
        <w:pStyle w:val="a3"/>
        <w:numPr>
          <w:ilvl w:val="0"/>
          <w:numId w:val="2"/>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Радіоактивність та одиниці вимірювання</w:t>
      </w:r>
      <w:r>
        <w:rPr>
          <w:rFonts w:ascii="Arial" w:hAnsi="Arial" w:cs="Arial"/>
          <w:sz w:val="28"/>
          <w:szCs w:val="28"/>
        </w:rPr>
        <w:t>.</w:t>
      </w:r>
    </w:p>
    <w:p w:rsidR="00756A39" w:rsidRPr="00756A39" w:rsidRDefault="00756A39" w:rsidP="00756A39">
      <w:pPr>
        <w:pStyle w:val="a3"/>
        <w:numPr>
          <w:ilvl w:val="0"/>
          <w:numId w:val="2"/>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Дози іонізуючого опромінення та одиниці вимірювання</w:t>
      </w:r>
      <w:r>
        <w:rPr>
          <w:rFonts w:ascii="Arial" w:hAnsi="Arial" w:cs="Arial"/>
          <w:sz w:val="28"/>
          <w:szCs w:val="28"/>
        </w:rPr>
        <w:t>.</w:t>
      </w:r>
    </w:p>
    <w:p w:rsidR="00756A39" w:rsidRPr="00756A39" w:rsidRDefault="00756A39" w:rsidP="00756A39">
      <w:pPr>
        <w:pStyle w:val="a3"/>
        <w:numPr>
          <w:ilvl w:val="0"/>
          <w:numId w:val="2"/>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Практична оцінка радіаційної ситуації</w:t>
      </w:r>
      <w:r>
        <w:rPr>
          <w:rFonts w:ascii="Arial" w:hAnsi="Arial" w:cs="Arial"/>
          <w:sz w:val="28"/>
          <w:szCs w:val="28"/>
        </w:rPr>
        <w:t>.</w:t>
      </w:r>
    </w:p>
    <w:p w:rsidR="00756A39" w:rsidRPr="00756A39" w:rsidRDefault="00756A39" w:rsidP="00756A39">
      <w:pPr>
        <w:pStyle w:val="a3"/>
        <w:numPr>
          <w:ilvl w:val="0"/>
          <w:numId w:val="2"/>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lastRenderedPageBreak/>
        <w:t xml:space="preserve">Основи прогнозу радіаційної небезпеки від різних джерел іонізуючих </w:t>
      </w:r>
      <w:proofErr w:type="spellStart"/>
      <w:r w:rsidRPr="00756A39">
        <w:rPr>
          <w:rFonts w:ascii="Arial" w:hAnsi="Arial" w:cs="Arial"/>
          <w:sz w:val="28"/>
          <w:szCs w:val="28"/>
        </w:rPr>
        <w:t>випромінювань</w:t>
      </w:r>
      <w:proofErr w:type="spellEnd"/>
      <w:r w:rsidRPr="00756A39">
        <w:rPr>
          <w:rFonts w:ascii="Arial" w:hAnsi="Arial" w:cs="Arial"/>
          <w:sz w:val="28"/>
          <w:szCs w:val="28"/>
        </w:rPr>
        <w:t xml:space="preserve"> (1 частина).</w:t>
      </w:r>
    </w:p>
    <w:p w:rsidR="00756A39" w:rsidRPr="00756A39" w:rsidRDefault="00756A39" w:rsidP="00756A39">
      <w:pPr>
        <w:pStyle w:val="a3"/>
        <w:numPr>
          <w:ilvl w:val="0"/>
          <w:numId w:val="2"/>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 xml:space="preserve">Основи прогнозу радіаційної небезпеки від різних джерел іонізуючих </w:t>
      </w:r>
      <w:proofErr w:type="spellStart"/>
      <w:r w:rsidRPr="00756A39">
        <w:rPr>
          <w:rFonts w:ascii="Arial" w:hAnsi="Arial" w:cs="Arial"/>
          <w:sz w:val="28"/>
          <w:szCs w:val="28"/>
        </w:rPr>
        <w:t>випромінювань</w:t>
      </w:r>
      <w:proofErr w:type="spellEnd"/>
      <w:r w:rsidRPr="00756A39">
        <w:rPr>
          <w:rFonts w:ascii="Arial" w:hAnsi="Arial" w:cs="Arial"/>
          <w:sz w:val="28"/>
          <w:szCs w:val="28"/>
        </w:rPr>
        <w:t xml:space="preserve"> (2  частина)</w:t>
      </w:r>
      <w:r>
        <w:rPr>
          <w:rFonts w:ascii="Arial" w:hAnsi="Arial" w:cs="Arial"/>
          <w:sz w:val="28"/>
          <w:szCs w:val="28"/>
        </w:rPr>
        <w:t>.</w:t>
      </w:r>
    </w:p>
    <w:p w:rsidR="00756A39" w:rsidRPr="00756A39" w:rsidRDefault="00756A39" w:rsidP="00756A39">
      <w:pPr>
        <w:pStyle w:val="a3"/>
        <w:numPr>
          <w:ilvl w:val="0"/>
          <w:numId w:val="2"/>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Профілактика радіаційних уражень (1 частина)</w:t>
      </w:r>
      <w:r>
        <w:rPr>
          <w:rFonts w:ascii="Arial" w:hAnsi="Arial" w:cs="Arial"/>
          <w:sz w:val="28"/>
          <w:szCs w:val="28"/>
        </w:rPr>
        <w:t>.</w:t>
      </w:r>
    </w:p>
    <w:p w:rsidR="00756A39" w:rsidRPr="00756A39" w:rsidRDefault="00756A39" w:rsidP="00756A39">
      <w:pPr>
        <w:pStyle w:val="a3"/>
        <w:numPr>
          <w:ilvl w:val="0"/>
          <w:numId w:val="2"/>
        </w:numPr>
        <w:tabs>
          <w:tab w:val="left" w:pos="1134"/>
        </w:tabs>
        <w:spacing w:after="0" w:line="240" w:lineRule="auto"/>
        <w:ind w:left="0" w:firstLine="709"/>
        <w:jc w:val="both"/>
        <w:rPr>
          <w:rFonts w:ascii="Arial" w:hAnsi="Arial" w:cs="Arial"/>
          <w:sz w:val="28"/>
          <w:szCs w:val="28"/>
        </w:rPr>
      </w:pPr>
      <w:r w:rsidRPr="00756A39">
        <w:rPr>
          <w:rFonts w:ascii="Arial" w:hAnsi="Arial" w:cs="Arial"/>
          <w:sz w:val="28"/>
          <w:szCs w:val="28"/>
        </w:rPr>
        <w:t>Профілактика радіаційних уражень (2 частина)</w:t>
      </w:r>
      <w:r>
        <w:rPr>
          <w:rFonts w:ascii="Arial" w:hAnsi="Arial" w:cs="Arial"/>
          <w:sz w:val="28"/>
          <w:szCs w:val="28"/>
        </w:rPr>
        <w:t>.</w:t>
      </w:r>
      <w:bookmarkStart w:id="0" w:name="_GoBack"/>
      <w:bookmarkEnd w:id="0"/>
    </w:p>
    <w:p w:rsidR="00756A39" w:rsidRPr="00756A39" w:rsidRDefault="00756A39" w:rsidP="00756A39">
      <w:pPr>
        <w:tabs>
          <w:tab w:val="left" w:pos="1134"/>
        </w:tabs>
        <w:ind w:firstLine="709"/>
        <w:jc w:val="both"/>
        <w:rPr>
          <w:rFonts w:ascii="Arial" w:hAnsi="Arial" w:cs="Arial"/>
          <w:i/>
          <w:sz w:val="28"/>
          <w:szCs w:val="28"/>
          <w:lang w:val="uk-UA"/>
        </w:rPr>
      </w:pPr>
    </w:p>
    <w:p w:rsidR="00111CCD" w:rsidRPr="00756A39" w:rsidRDefault="00111CCD" w:rsidP="00756A39">
      <w:pPr>
        <w:tabs>
          <w:tab w:val="left" w:pos="1134"/>
        </w:tabs>
        <w:ind w:firstLine="709"/>
        <w:jc w:val="both"/>
        <w:rPr>
          <w:rFonts w:ascii="Arial" w:hAnsi="Arial" w:cs="Arial"/>
          <w:sz w:val="28"/>
          <w:szCs w:val="28"/>
        </w:rPr>
      </w:pPr>
    </w:p>
    <w:sectPr w:rsidR="00111CCD" w:rsidRPr="00756A39" w:rsidSect="00756A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B7D"/>
    <w:multiLevelType w:val="hybridMultilevel"/>
    <w:tmpl w:val="43B83FD6"/>
    <w:lvl w:ilvl="0" w:tplc="8452C8A6">
      <w:start w:val="1"/>
      <w:numFmt w:val="decimal"/>
      <w:lvlText w:val="%1."/>
      <w:lvlJc w:val="left"/>
      <w:pPr>
        <w:ind w:left="360"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1" w15:restartNumberingAfterBreak="0">
    <w:nsid w:val="36C4378C"/>
    <w:multiLevelType w:val="hybridMultilevel"/>
    <w:tmpl w:val="0CB85F6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70"/>
    <w:rsid w:val="00111CCD"/>
    <w:rsid w:val="00756A39"/>
    <w:rsid w:val="008C2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BFF8"/>
  <w15:chartTrackingRefBased/>
  <w15:docId w15:val="{58C3E915-28FA-457C-86EA-2A97A0E0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A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56A39"/>
    <w:pPr>
      <w:spacing w:after="160" w:line="259"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2020-10-16T08:50:00Z</dcterms:created>
  <dcterms:modified xsi:type="dcterms:W3CDTF">2020-10-16T08:54:00Z</dcterms:modified>
</cp:coreProperties>
</file>