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FD" w:rsidRDefault="00604CFD" w:rsidP="00604CFD">
      <w:pPr>
        <w:jc w:val="center"/>
        <w:rPr>
          <w:rFonts w:ascii="Arial" w:hAnsi="Arial" w:cs="Arial"/>
          <w:b/>
          <w:sz w:val="28"/>
          <w:szCs w:val="28"/>
          <w:lang w:val="uk-UA"/>
        </w:rPr>
      </w:pPr>
      <w:r w:rsidRPr="00604CFD">
        <w:rPr>
          <w:rFonts w:ascii="Arial" w:hAnsi="Arial" w:cs="Arial"/>
          <w:b/>
          <w:sz w:val="28"/>
          <w:szCs w:val="28"/>
          <w:lang w:val="uk-UA"/>
        </w:rPr>
        <w:t>СТРАТЕГІЯ РЕАГУВАННЯ ПРИ ТЕХНОГЕННИХ КАТАСТРОФАХ</w:t>
      </w:r>
    </w:p>
    <w:p w:rsidR="00604CFD" w:rsidRPr="00604CFD" w:rsidRDefault="00604CFD" w:rsidP="00604CFD">
      <w:pPr>
        <w:jc w:val="center"/>
        <w:rPr>
          <w:rFonts w:ascii="Arial" w:hAnsi="Arial" w:cs="Arial"/>
          <w:b/>
          <w:sz w:val="28"/>
          <w:szCs w:val="28"/>
          <w:lang w:val="uk-UA"/>
        </w:rPr>
      </w:pPr>
    </w:p>
    <w:p w:rsidR="00604CFD" w:rsidRDefault="00604CFD" w:rsidP="00604CFD">
      <w:pPr>
        <w:jc w:val="center"/>
        <w:rPr>
          <w:rFonts w:ascii="Arial" w:hAnsi="Arial" w:cs="Arial"/>
          <w:b/>
          <w:sz w:val="28"/>
          <w:szCs w:val="28"/>
          <w:lang w:val="uk-UA"/>
        </w:rPr>
      </w:pPr>
      <w:r w:rsidRPr="00604CFD">
        <w:rPr>
          <w:rFonts w:ascii="Arial" w:hAnsi="Arial" w:cs="Arial"/>
          <w:b/>
          <w:sz w:val="28"/>
          <w:szCs w:val="28"/>
          <w:lang w:val="uk-UA"/>
        </w:rPr>
        <w:t xml:space="preserve">Кафедра загальної екології, радіобіології </w:t>
      </w:r>
      <w:r>
        <w:rPr>
          <w:rFonts w:ascii="Arial" w:hAnsi="Arial" w:cs="Arial"/>
          <w:b/>
          <w:sz w:val="28"/>
          <w:szCs w:val="28"/>
          <w:lang w:val="uk-UA"/>
        </w:rPr>
        <w:t>і безпеки життєдіяльності</w:t>
      </w:r>
    </w:p>
    <w:p w:rsidR="00604CFD" w:rsidRPr="00604CFD" w:rsidRDefault="00604CFD" w:rsidP="00604CFD">
      <w:pPr>
        <w:jc w:val="center"/>
        <w:rPr>
          <w:rFonts w:ascii="Arial" w:hAnsi="Arial" w:cs="Arial"/>
          <w:b/>
          <w:sz w:val="28"/>
          <w:szCs w:val="28"/>
          <w:lang w:val="uk-UA"/>
        </w:rPr>
      </w:pPr>
    </w:p>
    <w:p w:rsidR="00604CFD" w:rsidRPr="00604CFD" w:rsidRDefault="00604CFD" w:rsidP="00604CFD">
      <w:pPr>
        <w:jc w:val="center"/>
        <w:rPr>
          <w:rFonts w:ascii="Arial" w:hAnsi="Arial" w:cs="Arial"/>
          <w:b/>
          <w:sz w:val="28"/>
          <w:szCs w:val="28"/>
          <w:lang w:val="uk-UA"/>
        </w:rPr>
      </w:pPr>
      <w:r w:rsidRPr="00604CFD">
        <w:rPr>
          <w:rFonts w:ascii="Arial" w:hAnsi="Arial" w:cs="Arial"/>
          <w:b/>
          <w:sz w:val="28"/>
          <w:szCs w:val="28"/>
          <w:lang w:val="uk-UA"/>
        </w:rPr>
        <w:t>Факультет захисту рослин, біотехнологій та екології</w:t>
      </w:r>
    </w:p>
    <w:p w:rsidR="00604CFD" w:rsidRPr="00604CFD" w:rsidRDefault="00604CFD" w:rsidP="00604CFD">
      <w:pPr>
        <w:ind w:firstLine="709"/>
        <w:jc w:val="both"/>
        <w:rPr>
          <w:rFonts w:ascii="Arial" w:hAnsi="Arial" w:cs="Arial"/>
          <w:b/>
          <w:sz w:val="28"/>
          <w:szCs w:val="28"/>
          <w:lang w:val="uk-UA"/>
        </w:rPr>
      </w:pPr>
    </w:p>
    <w:tbl>
      <w:tblPr>
        <w:tblW w:w="9912" w:type="dxa"/>
        <w:tblLook w:val="00A0" w:firstRow="1" w:lastRow="0" w:firstColumn="1" w:lastColumn="0" w:noHBand="0" w:noVBand="0"/>
      </w:tblPr>
      <w:tblGrid>
        <w:gridCol w:w="3969"/>
        <w:gridCol w:w="5943"/>
      </w:tblGrid>
      <w:tr w:rsidR="00604CFD" w:rsidRPr="00604CFD" w:rsidTr="00604CFD">
        <w:tc>
          <w:tcPr>
            <w:tcW w:w="3969" w:type="dxa"/>
          </w:tcPr>
          <w:p w:rsidR="00604CFD" w:rsidRPr="00604CFD" w:rsidRDefault="00604CFD" w:rsidP="00604CFD">
            <w:pPr>
              <w:rPr>
                <w:rFonts w:ascii="Arial" w:hAnsi="Arial" w:cs="Arial"/>
                <w:b/>
                <w:i/>
                <w:sz w:val="28"/>
                <w:szCs w:val="28"/>
                <w:lang w:val="uk-UA"/>
              </w:rPr>
            </w:pPr>
            <w:r w:rsidRPr="00604CFD">
              <w:rPr>
                <w:rFonts w:ascii="Arial" w:hAnsi="Arial" w:cs="Arial"/>
                <w:b/>
                <w:i/>
                <w:sz w:val="28"/>
                <w:szCs w:val="28"/>
                <w:lang w:val="uk-UA"/>
              </w:rPr>
              <w:t>Лектор</w:t>
            </w:r>
          </w:p>
        </w:tc>
        <w:tc>
          <w:tcPr>
            <w:tcW w:w="5943" w:type="dxa"/>
          </w:tcPr>
          <w:p w:rsidR="00604CFD" w:rsidRPr="00604CFD" w:rsidRDefault="00604CFD" w:rsidP="00604CFD">
            <w:pPr>
              <w:rPr>
                <w:rFonts w:ascii="Arial" w:hAnsi="Arial" w:cs="Arial"/>
                <w:b/>
                <w:sz w:val="28"/>
                <w:szCs w:val="28"/>
                <w:lang w:val="uk-UA"/>
              </w:rPr>
            </w:pPr>
            <w:r w:rsidRPr="00604CFD">
              <w:rPr>
                <w:rFonts w:ascii="Arial" w:hAnsi="Arial" w:cs="Arial"/>
                <w:b/>
                <w:sz w:val="28"/>
                <w:szCs w:val="28"/>
                <w:lang w:val="uk-UA"/>
              </w:rPr>
              <w:t xml:space="preserve">асистент </w:t>
            </w:r>
            <w:proofErr w:type="spellStart"/>
            <w:r w:rsidRPr="00604CFD">
              <w:rPr>
                <w:rFonts w:ascii="Arial" w:hAnsi="Arial" w:cs="Arial"/>
                <w:b/>
                <w:sz w:val="28"/>
                <w:szCs w:val="28"/>
                <w:lang w:val="uk-UA"/>
              </w:rPr>
              <w:t>Паренюк</w:t>
            </w:r>
            <w:proofErr w:type="spellEnd"/>
            <w:r w:rsidRPr="00604CFD">
              <w:rPr>
                <w:rFonts w:ascii="Arial" w:hAnsi="Arial" w:cs="Arial"/>
                <w:b/>
                <w:sz w:val="28"/>
                <w:szCs w:val="28"/>
                <w:lang w:val="uk-UA"/>
              </w:rPr>
              <w:t xml:space="preserve"> Олена Юріївна</w:t>
            </w:r>
          </w:p>
        </w:tc>
      </w:tr>
      <w:tr w:rsidR="00604CFD" w:rsidRPr="00604CFD" w:rsidTr="00604CFD">
        <w:tc>
          <w:tcPr>
            <w:tcW w:w="3969" w:type="dxa"/>
          </w:tcPr>
          <w:p w:rsidR="00604CFD" w:rsidRPr="00604CFD" w:rsidRDefault="00604CFD" w:rsidP="00604CFD">
            <w:pPr>
              <w:rPr>
                <w:rFonts w:ascii="Arial" w:hAnsi="Arial" w:cs="Arial"/>
                <w:b/>
                <w:i/>
                <w:sz w:val="28"/>
                <w:szCs w:val="28"/>
                <w:lang w:val="uk-UA"/>
              </w:rPr>
            </w:pPr>
            <w:r w:rsidRPr="00604CFD">
              <w:rPr>
                <w:rFonts w:ascii="Arial" w:hAnsi="Arial" w:cs="Arial"/>
                <w:b/>
                <w:i/>
                <w:sz w:val="28"/>
                <w:szCs w:val="28"/>
                <w:lang w:val="uk-UA"/>
              </w:rPr>
              <w:t>Семестр</w:t>
            </w:r>
          </w:p>
        </w:tc>
        <w:tc>
          <w:tcPr>
            <w:tcW w:w="5943" w:type="dxa"/>
          </w:tcPr>
          <w:p w:rsidR="00604CFD" w:rsidRPr="00604CFD" w:rsidRDefault="00604CFD" w:rsidP="00604CFD">
            <w:pPr>
              <w:rPr>
                <w:rFonts w:ascii="Arial" w:hAnsi="Arial" w:cs="Arial"/>
                <w:b/>
                <w:sz w:val="28"/>
                <w:szCs w:val="28"/>
                <w:lang w:val="uk-UA"/>
              </w:rPr>
            </w:pPr>
            <w:r w:rsidRPr="00604CFD">
              <w:rPr>
                <w:rFonts w:ascii="Arial" w:hAnsi="Arial" w:cs="Arial"/>
                <w:b/>
                <w:sz w:val="28"/>
                <w:szCs w:val="28"/>
                <w:lang w:val="uk-UA"/>
              </w:rPr>
              <w:t>2</w:t>
            </w:r>
          </w:p>
        </w:tc>
      </w:tr>
      <w:tr w:rsidR="00604CFD" w:rsidRPr="00604CFD" w:rsidTr="00604CFD">
        <w:tc>
          <w:tcPr>
            <w:tcW w:w="3969" w:type="dxa"/>
          </w:tcPr>
          <w:p w:rsidR="00604CFD" w:rsidRPr="00604CFD" w:rsidRDefault="00604CFD" w:rsidP="00604CFD">
            <w:pPr>
              <w:rPr>
                <w:rFonts w:ascii="Arial" w:hAnsi="Arial" w:cs="Arial"/>
                <w:b/>
                <w:i/>
                <w:sz w:val="28"/>
                <w:szCs w:val="28"/>
                <w:lang w:val="uk-UA"/>
              </w:rPr>
            </w:pPr>
            <w:r w:rsidRPr="00604CFD">
              <w:rPr>
                <w:rFonts w:ascii="Arial" w:hAnsi="Arial" w:cs="Arial"/>
                <w:b/>
                <w:i/>
                <w:sz w:val="28"/>
                <w:szCs w:val="28"/>
                <w:lang w:val="uk-UA"/>
              </w:rPr>
              <w:t>Освітній ступінь</w:t>
            </w:r>
          </w:p>
        </w:tc>
        <w:tc>
          <w:tcPr>
            <w:tcW w:w="5943" w:type="dxa"/>
          </w:tcPr>
          <w:p w:rsidR="00604CFD" w:rsidRPr="00604CFD" w:rsidRDefault="00604CFD" w:rsidP="00604CFD">
            <w:pPr>
              <w:rPr>
                <w:rFonts w:ascii="Arial" w:hAnsi="Arial" w:cs="Arial"/>
                <w:b/>
                <w:sz w:val="28"/>
                <w:szCs w:val="28"/>
                <w:lang w:val="uk-UA"/>
              </w:rPr>
            </w:pPr>
            <w:r w:rsidRPr="00604CFD">
              <w:rPr>
                <w:rFonts w:ascii="Arial" w:hAnsi="Arial" w:cs="Arial"/>
                <w:b/>
                <w:sz w:val="28"/>
                <w:szCs w:val="28"/>
                <w:lang w:val="uk-UA"/>
              </w:rPr>
              <w:t>Магістр</w:t>
            </w:r>
          </w:p>
        </w:tc>
      </w:tr>
      <w:tr w:rsidR="00604CFD" w:rsidRPr="00604CFD" w:rsidTr="00604CFD">
        <w:tc>
          <w:tcPr>
            <w:tcW w:w="3969" w:type="dxa"/>
          </w:tcPr>
          <w:p w:rsidR="00604CFD" w:rsidRPr="00604CFD" w:rsidRDefault="00604CFD" w:rsidP="00604CFD">
            <w:pPr>
              <w:rPr>
                <w:rFonts w:ascii="Arial" w:hAnsi="Arial" w:cs="Arial"/>
                <w:b/>
                <w:i/>
                <w:sz w:val="28"/>
                <w:szCs w:val="28"/>
                <w:lang w:val="uk-UA"/>
              </w:rPr>
            </w:pPr>
            <w:r w:rsidRPr="00604CFD">
              <w:rPr>
                <w:rFonts w:ascii="Arial" w:hAnsi="Arial" w:cs="Arial"/>
                <w:b/>
                <w:i/>
                <w:sz w:val="28"/>
                <w:szCs w:val="28"/>
                <w:lang w:val="uk-UA"/>
              </w:rPr>
              <w:t>Кількість кредитів ЄКТС</w:t>
            </w:r>
          </w:p>
        </w:tc>
        <w:tc>
          <w:tcPr>
            <w:tcW w:w="5943" w:type="dxa"/>
          </w:tcPr>
          <w:p w:rsidR="00604CFD" w:rsidRPr="00604CFD" w:rsidRDefault="00604CFD" w:rsidP="00604CFD">
            <w:pPr>
              <w:rPr>
                <w:rFonts w:ascii="Arial" w:hAnsi="Arial" w:cs="Arial"/>
                <w:b/>
                <w:sz w:val="28"/>
                <w:szCs w:val="28"/>
                <w:lang w:val="uk-UA"/>
              </w:rPr>
            </w:pPr>
            <w:r w:rsidRPr="00604CFD">
              <w:rPr>
                <w:rFonts w:ascii="Arial" w:hAnsi="Arial" w:cs="Arial"/>
                <w:b/>
                <w:sz w:val="28"/>
                <w:szCs w:val="28"/>
                <w:lang w:val="uk-UA"/>
              </w:rPr>
              <w:t>4</w:t>
            </w:r>
          </w:p>
        </w:tc>
      </w:tr>
      <w:tr w:rsidR="00604CFD" w:rsidRPr="00604CFD" w:rsidTr="00604CFD">
        <w:tc>
          <w:tcPr>
            <w:tcW w:w="3969" w:type="dxa"/>
          </w:tcPr>
          <w:p w:rsidR="00604CFD" w:rsidRPr="00604CFD" w:rsidRDefault="00604CFD" w:rsidP="00604CFD">
            <w:pPr>
              <w:rPr>
                <w:rFonts w:ascii="Arial" w:hAnsi="Arial" w:cs="Arial"/>
                <w:b/>
                <w:i/>
                <w:sz w:val="28"/>
                <w:szCs w:val="28"/>
                <w:lang w:val="uk-UA"/>
              </w:rPr>
            </w:pPr>
            <w:r w:rsidRPr="00604CFD">
              <w:rPr>
                <w:rFonts w:ascii="Arial" w:hAnsi="Arial" w:cs="Arial"/>
                <w:b/>
                <w:i/>
                <w:sz w:val="28"/>
                <w:szCs w:val="28"/>
                <w:lang w:val="uk-UA"/>
              </w:rPr>
              <w:t>Форма контролю</w:t>
            </w:r>
          </w:p>
        </w:tc>
        <w:tc>
          <w:tcPr>
            <w:tcW w:w="5943" w:type="dxa"/>
          </w:tcPr>
          <w:p w:rsidR="00604CFD" w:rsidRPr="00604CFD" w:rsidRDefault="00604CFD" w:rsidP="00604CFD">
            <w:pPr>
              <w:rPr>
                <w:rFonts w:ascii="Arial" w:hAnsi="Arial" w:cs="Arial"/>
                <w:b/>
                <w:sz w:val="28"/>
                <w:szCs w:val="28"/>
                <w:lang w:val="uk-UA"/>
              </w:rPr>
            </w:pPr>
            <w:r w:rsidRPr="00604CFD">
              <w:rPr>
                <w:rFonts w:ascii="Arial" w:hAnsi="Arial" w:cs="Arial"/>
                <w:b/>
                <w:sz w:val="28"/>
                <w:szCs w:val="28"/>
                <w:lang w:val="uk-UA"/>
              </w:rPr>
              <w:t>Екзамен</w:t>
            </w:r>
          </w:p>
        </w:tc>
      </w:tr>
      <w:tr w:rsidR="00604CFD" w:rsidRPr="00604CFD" w:rsidTr="00604CFD">
        <w:tc>
          <w:tcPr>
            <w:tcW w:w="3969" w:type="dxa"/>
          </w:tcPr>
          <w:p w:rsidR="00604CFD" w:rsidRPr="00604CFD" w:rsidRDefault="00604CFD" w:rsidP="00604CFD">
            <w:pPr>
              <w:rPr>
                <w:rFonts w:ascii="Arial" w:hAnsi="Arial" w:cs="Arial"/>
                <w:b/>
                <w:i/>
                <w:sz w:val="28"/>
                <w:szCs w:val="28"/>
                <w:lang w:val="uk-UA"/>
              </w:rPr>
            </w:pPr>
            <w:r w:rsidRPr="00604CFD">
              <w:rPr>
                <w:rFonts w:ascii="Arial" w:hAnsi="Arial" w:cs="Arial"/>
                <w:b/>
                <w:i/>
                <w:sz w:val="28"/>
                <w:szCs w:val="28"/>
                <w:lang w:val="uk-UA"/>
              </w:rPr>
              <w:t>Аудиторні години</w:t>
            </w:r>
          </w:p>
        </w:tc>
        <w:tc>
          <w:tcPr>
            <w:tcW w:w="5943" w:type="dxa"/>
          </w:tcPr>
          <w:p w:rsidR="00604CFD" w:rsidRPr="00604CFD" w:rsidRDefault="00604CFD" w:rsidP="00604CFD">
            <w:pPr>
              <w:rPr>
                <w:rFonts w:ascii="Arial" w:hAnsi="Arial" w:cs="Arial"/>
                <w:b/>
                <w:sz w:val="28"/>
                <w:szCs w:val="28"/>
                <w:lang w:val="uk-UA"/>
              </w:rPr>
            </w:pPr>
            <w:r w:rsidRPr="00604CFD">
              <w:rPr>
                <w:rFonts w:ascii="Arial" w:hAnsi="Arial" w:cs="Arial"/>
                <w:b/>
                <w:sz w:val="28"/>
                <w:szCs w:val="28"/>
                <w:lang w:val="uk-UA"/>
              </w:rPr>
              <w:t>30 (15 год. лекцій, 15 год. практичних чи лабораторних)</w:t>
            </w:r>
          </w:p>
        </w:tc>
      </w:tr>
    </w:tbl>
    <w:p w:rsidR="00604CFD" w:rsidRPr="00604CFD" w:rsidRDefault="00604CFD" w:rsidP="00604CFD">
      <w:pPr>
        <w:ind w:firstLine="709"/>
        <w:jc w:val="both"/>
        <w:rPr>
          <w:rFonts w:ascii="Arial" w:hAnsi="Arial" w:cs="Arial"/>
          <w:b/>
          <w:sz w:val="28"/>
          <w:szCs w:val="28"/>
          <w:lang w:val="uk-UA"/>
        </w:rPr>
      </w:pPr>
    </w:p>
    <w:p w:rsidR="00604CFD" w:rsidRPr="00604CFD" w:rsidRDefault="00604CFD" w:rsidP="00604CFD">
      <w:pPr>
        <w:jc w:val="center"/>
        <w:rPr>
          <w:rFonts w:ascii="Arial" w:hAnsi="Arial" w:cs="Arial"/>
          <w:i/>
          <w:sz w:val="28"/>
          <w:szCs w:val="28"/>
          <w:lang w:val="uk-UA"/>
        </w:rPr>
      </w:pPr>
      <w:r w:rsidRPr="00604CFD">
        <w:rPr>
          <w:rFonts w:ascii="Arial" w:hAnsi="Arial" w:cs="Arial"/>
          <w:b/>
          <w:sz w:val="28"/>
          <w:szCs w:val="28"/>
          <w:lang w:val="uk-UA"/>
        </w:rPr>
        <w:t>Загальний опис дисципліни</w:t>
      </w:r>
    </w:p>
    <w:p w:rsidR="00604CFD" w:rsidRPr="00604CFD" w:rsidRDefault="00604CFD" w:rsidP="00604CFD">
      <w:pPr>
        <w:ind w:firstLine="709"/>
        <w:jc w:val="both"/>
        <w:rPr>
          <w:rFonts w:ascii="Arial" w:hAnsi="Arial" w:cs="Arial"/>
          <w:i/>
          <w:sz w:val="28"/>
          <w:szCs w:val="28"/>
          <w:lang w:val="uk-UA"/>
        </w:rPr>
      </w:pPr>
      <w:r w:rsidRPr="00604CFD">
        <w:rPr>
          <w:rFonts w:ascii="Arial" w:hAnsi="Arial" w:cs="Arial"/>
          <w:sz w:val="28"/>
          <w:szCs w:val="28"/>
          <w:lang w:val="uk-UA"/>
        </w:rPr>
        <w:t>Зміна клімату, напруженість у політичному і соціальному житті призводять до виникнення природних і техногенних катастроф, що мають руйнівні наслідки як для економіки, так і для навколишнього середовища. Затримка або неправильне реагування в разі їх виникнення часто призводить до не менш руйнівних наслідків, ніж сама катастрофа. В запропонованій дисципліні буде розглянуто алгоритми реагування в разі виникнення катастроф, висвітлено перелік відповідальних державних, наукових та міжнародних інституцій, що залучені безпосередньо до ланки невідкладного реагування або надають консультативні послуги. Вивчення запропонованої дисципліни дозволить майбутньому спеціалісті мати чітку стратегію дій в разі настання надзвичайної ситуації, а також відчувати себе озброєним і обізнаним для коректного пошуку інформації в кожному конкретному випадку.</w:t>
      </w:r>
    </w:p>
    <w:p w:rsidR="00604CFD" w:rsidRDefault="00604CFD" w:rsidP="00604CFD">
      <w:pPr>
        <w:jc w:val="both"/>
        <w:rPr>
          <w:rFonts w:ascii="Arial" w:hAnsi="Arial" w:cs="Arial"/>
          <w:b/>
          <w:sz w:val="28"/>
          <w:szCs w:val="28"/>
          <w:lang w:val="uk-UA"/>
        </w:rPr>
      </w:pPr>
    </w:p>
    <w:p w:rsidR="00604CFD" w:rsidRPr="00604CFD" w:rsidRDefault="00604CFD" w:rsidP="00604CFD">
      <w:pPr>
        <w:jc w:val="center"/>
        <w:rPr>
          <w:rFonts w:ascii="Arial" w:hAnsi="Arial" w:cs="Arial"/>
          <w:b/>
          <w:sz w:val="28"/>
          <w:szCs w:val="28"/>
          <w:lang w:val="uk-UA"/>
        </w:rPr>
      </w:pPr>
      <w:r w:rsidRPr="00604CFD">
        <w:rPr>
          <w:rFonts w:ascii="Arial" w:hAnsi="Arial" w:cs="Arial"/>
          <w:b/>
          <w:sz w:val="28"/>
          <w:szCs w:val="28"/>
          <w:lang w:val="uk-UA"/>
        </w:rPr>
        <w:t>Теми лекцій:</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Поняття природної і техногенної катастрофи. Причини виникнення.</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Зміна клімату та технічний прогрес як передумови катастроф глобального масштабу</w:t>
      </w:r>
      <w:r>
        <w:rPr>
          <w:rFonts w:ascii="Arial" w:hAnsi="Arial" w:cs="Arial"/>
          <w:sz w:val="28"/>
          <w:szCs w:val="28"/>
        </w:rPr>
        <w:t>.</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Ідентифікація можливих загроз для України: зміна клімату, пилові бурі тощо</w:t>
      </w:r>
      <w:r>
        <w:rPr>
          <w:rFonts w:ascii="Arial" w:hAnsi="Arial" w:cs="Arial"/>
          <w:sz w:val="28"/>
          <w:szCs w:val="28"/>
        </w:rPr>
        <w:t>.</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Зона проведення ООС: сучасний стан і наслідки</w:t>
      </w:r>
      <w:r>
        <w:rPr>
          <w:rFonts w:ascii="Arial" w:hAnsi="Arial" w:cs="Arial"/>
          <w:sz w:val="28"/>
          <w:szCs w:val="28"/>
        </w:rPr>
        <w:t>.</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Світова стратегія реагування на катастрофи: міжнародні організації</w:t>
      </w:r>
      <w:r>
        <w:rPr>
          <w:rFonts w:ascii="Arial" w:hAnsi="Arial" w:cs="Arial"/>
          <w:sz w:val="28"/>
          <w:szCs w:val="28"/>
        </w:rPr>
        <w:t>.</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Стратегія реагування на катастрофи країн ЄС на Північної Америки</w:t>
      </w:r>
      <w:r>
        <w:rPr>
          <w:rFonts w:ascii="Arial" w:hAnsi="Arial" w:cs="Arial"/>
          <w:sz w:val="28"/>
          <w:szCs w:val="28"/>
        </w:rPr>
        <w:t>.</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Стратегія реагування на катастрофи країн Азії та Океанії</w:t>
      </w:r>
      <w:r>
        <w:rPr>
          <w:rFonts w:ascii="Arial" w:hAnsi="Arial" w:cs="Arial"/>
          <w:sz w:val="28"/>
          <w:szCs w:val="28"/>
        </w:rPr>
        <w:t>.</w:t>
      </w:r>
    </w:p>
    <w:p w:rsidR="00604CFD" w:rsidRPr="00604CFD" w:rsidRDefault="00604CFD" w:rsidP="00604CFD">
      <w:pPr>
        <w:pStyle w:val="a3"/>
        <w:numPr>
          <w:ilvl w:val="0"/>
          <w:numId w:val="1"/>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Державні інституції, що відповідальні за реагування в Україні</w:t>
      </w:r>
      <w:r>
        <w:rPr>
          <w:rFonts w:ascii="Arial" w:hAnsi="Arial" w:cs="Arial"/>
          <w:sz w:val="28"/>
          <w:szCs w:val="28"/>
        </w:rPr>
        <w:t>.</w:t>
      </w:r>
    </w:p>
    <w:p w:rsidR="00604CFD" w:rsidRDefault="00604CFD" w:rsidP="00604CFD">
      <w:pPr>
        <w:jc w:val="center"/>
        <w:rPr>
          <w:rFonts w:ascii="Arial" w:hAnsi="Arial" w:cs="Arial"/>
          <w:b/>
          <w:sz w:val="28"/>
          <w:szCs w:val="28"/>
          <w:lang w:val="uk-UA"/>
        </w:rPr>
      </w:pPr>
    </w:p>
    <w:p w:rsidR="00604CFD" w:rsidRDefault="00604CFD" w:rsidP="00604CFD">
      <w:pPr>
        <w:jc w:val="center"/>
        <w:rPr>
          <w:rFonts w:ascii="Arial" w:hAnsi="Arial" w:cs="Arial"/>
          <w:b/>
          <w:sz w:val="28"/>
          <w:szCs w:val="28"/>
          <w:lang w:val="uk-UA"/>
        </w:rPr>
      </w:pPr>
    </w:p>
    <w:p w:rsidR="00604CFD" w:rsidRPr="00604CFD" w:rsidRDefault="00604CFD" w:rsidP="00604CFD">
      <w:pPr>
        <w:jc w:val="center"/>
        <w:rPr>
          <w:rFonts w:ascii="Arial" w:hAnsi="Arial" w:cs="Arial"/>
          <w:b/>
          <w:sz w:val="28"/>
          <w:szCs w:val="28"/>
          <w:lang w:val="uk-UA"/>
        </w:rPr>
      </w:pPr>
      <w:r w:rsidRPr="00604CFD">
        <w:rPr>
          <w:rFonts w:ascii="Arial" w:hAnsi="Arial" w:cs="Arial"/>
          <w:b/>
          <w:sz w:val="28"/>
          <w:szCs w:val="28"/>
          <w:lang w:val="uk-UA"/>
        </w:rPr>
        <w:lastRenderedPageBreak/>
        <w:t>Теми занять:</w:t>
      </w:r>
    </w:p>
    <w:p w:rsidR="00604CFD" w:rsidRPr="00604CFD" w:rsidRDefault="00604CFD" w:rsidP="00604CFD">
      <w:pPr>
        <w:jc w:val="center"/>
        <w:rPr>
          <w:rFonts w:ascii="Arial" w:hAnsi="Arial" w:cs="Arial"/>
          <w:b/>
          <w:i/>
          <w:sz w:val="28"/>
          <w:szCs w:val="28"/>
          <w:lang w:val="uk-UA"/>
        </w:rPr>
      </w:pPr>
      <w:r w:rsidRPr="00604CFD">
        <w:rPr>
          <w:rFonts w:ascii="Arial" w:hAnsi="Arial" w:cs="Arial"/>
          <w:b/>
          <w:i/>
          <w:sz w:val="28"/>
          <w:szCs w:val="28"/>
          <w:lang w:val="uk-UA"/>
        </w:rPr>
        <w:t>(семінарських, практичних, лабораторних)</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Ідентифікація причин збільшення частоти глобальних катастроф</w:t>
      </w:r>
      <w:r>
        <w:rPr>
          <w:rFonts w:ascii="Arial" w:hAnsi="Arial" w:cs="Arial"/>
          <w:sz w:val="28"/>
          <w:szCs w:val="28"/>
        </w:rPr>
        <w:t>.</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Дискусія щодо зміни клімату</w:t>
      </w:r>
      <w:r>
        <w:rPr>
          <w:rFonts w:ascii="Arial" w:hAnsi="Arial" w:cs="Arial"/>
          <w:sz w:val="28"/>
          <w:szCs w:val="28"/>
        </w:rPr>
        <w:t>.</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Взаємодія з ОБСЄ та Комісією з прав людини щодо ситуації на території ООС</w:t>
      </w:r>
      <w:r>
        <w:rPr>
          <w:rFonts w:ascii="Arial" w:hAnsi="Arial" w:cs="Arial"/>
          <w:sz w:val="28"/>
          <w:szCs w:val="28"/>
        </w:rPr>
        <w:t>.</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Пошук інформації: достовірність, валідність, своєчасність</w:t>
      </w:r>
      <w:r>
        <w:rPr>
          <w:rFonts w:ascii="Arial" w:hAnsi="Arial" w:cs="Arial"/>
          <w:sz w:val="28"/>
          <w:szCs w:val="28"/>
        </w:rPr>
        <w:t>.</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 xml:space="preserve">Взаємодія з ДСНС, МНС, </w:t>
      </w:r>
      <w:proofErr w:type="spellStart"/>
      <w:r w:rsidRPr="00604CFD">
        <w:rPr>
          <w:rFonts w:ascii="Arial" w:hAnsi="Arial" w:cs="Arial"/>
          <w:sz w:val="28"/>
          <w:szCs w:val="28"/>
        </w:rPr>
        <w:t>МінЕкології</w:t>
      </w:r>
      <w:proofErr w:type="spellEnd"/>
      <w:r w:rsidRPr="00604CFD">
        <w:rPr>
          <w:rFonts w:ascii="Arial" w:hAnsi="Arial" w:cs="Arial"/>
          <w:sz w:val="28"/>
          <w:szCs w:val="28"/>
        </w:rPr>
        <w:t>.</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Написання рекомендацій і експертних висновків: професійність і вичерпність</w:t>
      </w:r>
      <w:r>
        <w:rPr>
          <w:rFonts w:ascii="Arial" w:hAnsi="Arial" w:cs="Arial"/>
          <w:sz w:val="28"/>
          <w:szCs w:val="28"/>
        </w:rPr>
        <w:t>.</w:t>
      </w:r>
      <w:r w:rsidRPr="00604CFD">
        <w:rPr>
          <w:rFonts w:ascii="Arial" w:hAnsi="Arial" w:cs="Arial"/>
          <w:sz w:val="28"/>
          <w:szCs w:val="28"/>
        </w:rPr>
        <w:t xml:space="preserve"> </w:t>
      </w:r>
    </w:p>
    <w:p w:rsidR="00604CFD" w:rsidRPr="00604CFD" w:rsidRDefault="00604CFD" w:rsidP="00604CFD">
      <w:pPr>
        <w:pStyle w:val="a3"/>
        <w:numPr>
          <w:ilvl w:val="0"/>
          <w:numId w:val="2"/>
        </w:numPr>
        <w:tabs>
          <w:tab w:val="left" w:pos="1134"/>
        </w:tabs>
        <w:spacing w:after="0" w:line="240" w:lineRule="auto"/>
        <w:ind w:left="0" w:firstLine="709"/>
        <w:jc w:val="both"/>
        <w:rPr>
          <w:rFonts w:ascii="Arial" w:hAnsi="Arial" w:cs="Arial"/>
          <w:sz w:val="28"/>
          <w:szCs w:val="28"/>
        </w:rPr>
      </w:pPr>
      <w:r w:rsidRPr="00604CFD">
        <w:rPr>
          <w:rFonts w:ascii="Arial" w:hAnsi="Arial" w:cs="Arial"/>
          <w:sz w:val="28"/>
          <w:szCs w:val="28"/>
        </w:rPr>
        <w:t>Взаємодія з органами місцевої влади</w:t>
      </w:r>
      <w:r>
        <w:rPr>
          <w:rFonts w:ascii="Arial" w:hAnsi="Arial" w:cs="Arial"/>
          <w:sz w:val="28"/>
          <w:szCs w:val="28"/>
        </w:rPr>
        <w:t>.</w:t>
      </w:r>
      <w:bookmarkStart w:id="0" w:name="_GoBack"/>
      <w:bookmarkEnd w:id="0"/>
    </w:p>
    <w:p w:rsidR="00604CFD" w:rsidRPr="00604CFD" w:rsidRDefault="00604CFD" w:rsidP="00604CFD">
      <w:pPr>
        <w:jc w:val="center"/>
        <w:rPr>
          <w:rFonts w:ascii="Arial" w:hAnsi="Arial" w:cs="Arial"/>
          <w:i/>
          <w:sz w:val="28"/>
          <w:szCs w:val="28"/>
          <w:lang w:val="uk-UA"/>
        </w:rPr>
      </w:pPr>
    </w:p>
    <w:p w:rsidR="00111CCD" w:rsidRPr="00604CFD" w:rsidRDefault="00111CCD" w:rsidP="00604CFD">
      <w:pPr>
        <w:rPr>
          <w:rFonts w:ascii="Arial" w:hAnsi="Arial" w:cs="Arial"/>
          <w:sz w:val="28"/>
          <w:szCs w:val="28"/>
        </w:rPr>
      </w:pPr>
    </w:p>
    <w:sectPr w:rsidR="00111CCD" w:rsidRPr="00604CFD" w:rsidSect="00604C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7D"/>
    <w:rsid w:val="00111CCD"/>
    <w:rsid w:val="0041707D"/>
    <w:rsid w:val="00604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B210"/>
  <w15:chartTrackingRefBased/>
  <w15:docId w15:val="{79C9026A-0065-4ADA-AD0F-33B33884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C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04CFD"/>
    <w:pPr>
      <w:spacing w:after="160" w:line="259"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2020-10-16T08:59:00Z</dcterms:created>
  <dcterms:modified xsi:type="dcterms:W3CDTF">2020-10-16T09:02:00Z</dcterms:modified>
</cp:coreProperties>
</file>