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4768">
        <w:rPr>
          <w:rFonts w:ascii="Arial" w:hAnsi="Arial" w:cs="Arial"/>
          <w:b/>
          <w:sz w:val="28"/>
          <w:szCs w:val="28"/>
          <w:lang w:val="ru-RU"/>
        </w:rPr>
        <w:t>ЗЕМЕЛЬНІ РЕСУРСИ ОТГ</w:t>
      </w: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4768">
        <w:rPr>
          <w:rFonts w:ascii="Arial" w:hAnsi="Arial" w:cs="Arial"/>
          <w:b/>
          <w:sz w:val="28"/>
          <w:szCs w:val="28"/>
        </w:rPr>
        <w:t>Кафедра геодезії та картографії</w:t>
      </w: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4768">
        <w:rPr>
          <w:rFonts w:ascii="Arial" w:hAnsi="Arial" w:cs="Arial"/>
          <w:b/>
          <w:sz w:val="28"/>
          <w:szCs w:val="28"/>
        </w:rPr>
        <w:t>Факультет землевпорядкування</w:t>
      </w: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943"/>
      </w:tblGrid>
      <w:tr w:rsidR="00524768" w:rsidRPr="00524768" w:rsidTr="00524768">
        <w:tc>
          <w:tcPr>
            <w:tcW w:w="4111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768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524768" w:rsidRPr="00524768" w:rsidRDefault="00F53EE0" w:rsidP="00F53EE0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к</w:t>
            </w:r>
            <w:bookmarkStart w:id="0" w:name="_GoBack"/>
            <w:bookmarkEnd w:id="0"/>
            <w:r w:rsidR="00524768" w:rsidRPr="00524768">
              <w:rPr>
                <w:rFonts w:ascii="Arial" w:hAnsi="Arial" w:cs="Arial"/>
                <w:b/>
                <w:sz w:val="28"/>
                <w:szCs w:val="28"/>
              </w:rPr>
              <w:t>.е.н</w:t>
            </w:r>
            <w:proofErr w:type="spellEnd"/>
            <w:r w:rsidR="00524768" w:rsidRPr="00524768">
              <w:rPr>
                <w:rFonts w:ascii="Arial" w:hAnsi="Arial" w:cs="Arial"/>
                <w:b/>
                <w:sz w:val="28"/>
                <w:szCs w:val="28"/>
              </w:rPr>
              <w:t xml:space="preserve">., ст. викладач </w:t>
            </w:r>
            <w:proofErr w:type="spellStart"/>
            <w:r w:rsidR="00524768" w:rsidRPr="00524768">
              <w:rPr>
                <w:rFonts w:ascii="Arial" w:hAnsi="Arial" w:cs="Arial"/>
                <w:b/>
                <w:sz w:val="28"/>
                <w:szCs w:val="28"/>
              </w:rPr>
              <w:t>Малашевська</w:t>
            </w:r>
            <w:proofErr w:type="spellEnd"/>
            <w:r w:rsidR="00524768" w:rsidRPr="00524768">
              <w:rPr>
                <w:rFonts w:ascii="Arial" w:hAnsi="Arial" w:cs="Arial"/>
                <w:b/>
                <w:sz w:val="28"/>
                <w:szCs w:val="28"/>
              </w:rPr>
              <w:t xml:space="preserve"> О.А.</w:t>
            </w:r>
          </w:p>
        </w:tc>
      </w:tr>
      <w:tr w:rsidR="00524768" w:rsidRPr="00524768" w:rsidTr="00524768">
        <w:tc>
          <w:tcPr>
            <w:tcW w:w="4111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768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524768" w:rsidRPr="00524768" w:rsidTr="00524768">
        <w:tc>
          <w:tcPr>
            <w:tcW w:w="4111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768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524768" w:rsidRPr="00524768" w:rsidTr="00524768">
        <w:tc>
          <w:tcPr>
            <w:tcW w:w="4111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768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524768" w:rsidRPr="00524768" w:rsidTr="00524768">
        <w:tc>
          <w:tcPr>
            <w:tcW w:w="4111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768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24768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524768" w:rsidRPr="00524768" w:rsidTr="00524768">
        <w:tc>
          <w:tcPr>
            <w:tcW w:w="4111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768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524768" w:rsidRPr="00524768" w:rsidRDefault="00524768" w:rsidP="0052476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24768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524768" w:rsidRPr="00524768" w:rsidRDefault="00524768" w:rsidP="0052476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24768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524768" w:rsidRPr="00524768" w:rsidRDefault="00524768" w:rsidP="0052476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Завдання курсу полягає у формуванні знань про методи і підходи до удосконалення використання земельних ресурсів ОТГ; формуванні навичок вирішення прикладних задач, пов’язаних з усуненням недоліків сільськогосподарського, лісогосподарського землекористування ОТГ, створення математичних моделей перерозподілу земель, оцінки точності та аналізу ефективності проектних рішень.</w:t>
      </w:r>
    </w:p>
    <w:p w:rsidR="00524768" w:rsidRPr="00524768" w:rsidRDefault="00524768" w:rsidP="0052476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 xml:space="preserve">Знання, отримані у процесі вивчення дисципліни, допоможуть студентам землевпорядного, агрономічного, лісовпорядного, екологічного, інформаційного профілю оптимальніше вирішувати спектр завдань з забезпечення раціонального природокористування і </w:t>
      </w:r>
      <w:proofErr w:type="spellStart"/>
      <w:r w:rsidRPr="00524768">
        <w:rPr>
          <w:rFonts w:ascii="Arial" w:hAnsi="Arial" w:cs="Arial"/>
          <w:sz w:val="28"/>
          <w:szCs w:val="28"/>
        </w:rPr>
        <w:t>фукціонування</w:t>
      </w:r>
      <w:proofErr w:type="spellEnd"/>
      <w:r w:rsidRPr="00524768">
        <w:rPr>
          <w:rFonts w:ascii="Arial" w:hAnsi="Arial" w:cs="Arial"/>
          <w:sz w:val="28"/>
          <w:szCs w:val="28"/>
        </w:rPr>
        <w:t xml:space="preserve"> об’єднаних територіальних громад, </w:t>
      </w:r>
      <w:proofErr w:type="spellStart"/>
      <w:r w:rsidRPr="00524768">
        <w:rPr>
          <w:rFonts w:ascii="Arial" w:hAnsi="Arial" w:cs="Arial"/>
          <w:sz w:val="28"/>
          <w:szCs w:val="28"/>
        </w:rPr>
        <w:t>агроформувань</w:t>
      </w:r>
      <w:proofErr w:type="spellEnd"/>
      <w:r w:rsidRPr="00524768">
        <w:rPr>
          <w:rFonts w:ascii="Arial" w:hAnsi="Arial" w:cs="Arial"/>
          <w:sz w:val="28"/>
          <w:szCs w:val="28"/>
        </w:rPr>
        <w:t xml:space="preserve"> різних типів, інших суб’єктів природокористування. Надаються необхідні знання для ефективної управлінської діяльності, пов’язаної із використанням земель ОТГ.</w:t>
      </w:r>
    </w:p>
    <w:p w:rsidR="00524768" w:rsidRPr="00524768" w:rsidRDefault="00524768" w:rsidP="0052476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 xml:space="preserve">Дисципліна зачіпає комплекс найбільш актуальних проблем, пов’язаних із просторовим аспектом управління землями ОТГ, які виникають при оптимізації сільськогосподарського землекористування </w:t>
      </w:r>
      <w:proofErr w:type="spellStart"/>
      <w:r w:rsidRPr="00524768">
        <w:rPr>
          <w:rFonts w:ascii="Arial" w:hAnsi="Arial" w:cs="Arial"/>
          <w:sz w:val="28"/>
          <w:szCs w:val="28"/>
        </w:rPr>
        <w:t>агроформувань</w:t>
      </w:r>
      <w:proofErr w:type="spellEnd"/>
      <w:r w:rsidRPr="00524768">
        <w:rPr>
          <w:rFonts w:ascii="Arial" w:hAnsi="Arial" w:cs="Arial"/>
          <w:sz w:val="28"/>
          <w:szCs w:val="28"/>
        </w:rPr>
        <w:t xml:space="preserve"> та домогосподарств, використання лісосмуг, дорожньої мережі, формування інфраструктурних, соціальних та природоохоронних об’єктів; вирішує технічні питання перерозподілу земель між окремими суб’єктами господарювання та на рівні ОТГ, зміни цільового призначення земель, відведення земельних ділянок, встановлення та зміни меж земельних ділянок.</w:t>
      </w:r>
    </w:p>
    <w:p w:rsid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4768">
        <w:rPr>
          <w:rFonts w:ascii="Arial" w:hAnsi="Arial" w:cs="Arial"/>
          <w:b/>
          <w:sz w:val="28"/>
          <w:szCs w:val="28"/>
        </w:rPr>
        <w:t>Теми лекцій:</w:t>
      </w:r>
    </w:p>
    <w:p w:rsidR="00524768" w:rsidRPr="00524768" w:rsidRDefault="00524768" w:rsidP="0052476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Етапи формування землекористування територіальних громад</w:t>
      </w:r>
      <w:r>
        <w:rPr>
          <w:rFonts w:ascii="Arial" w:hAnsi="Arial" w:cs="Arial"/>
          <w:sz w:val="28"/>
          <w:szCs w:val="28"/>
        </w:rPr>
        <w:t>.</w:t>
      </w:r>
    </w:p>
    <w:p w:rsidR="00524768" w:rsidRPr="00524768" w:rsidRDefault="00524768" w:rsidP="0052476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Існуючий стан та проблеми використання земель ОТГ</w:t>
      </w:r>
      <w:r>
        <w:rPr>
          <w:rFonts w:ascii="Arial" w:hAnsi="Arial" w:cs="Arial"/>
          <w:sz w:val="28"/>
          <w:szCs w:val="28"/>
        </w:rPr>
        <w:t>.</w:t>
      </w:r>
    </w:p>
    <w:p w:rsidR="00524768" w:rsidRPr="00524768" w:rsidRDefault="00524768" w:rsidP="0052476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Закордонний досвід просторового планування територіальних громад</w:t>
      </w:r>
      <w:r>
        <w:rPr>
          <w:rFonts w:ascii="Arial" w:hAnsi="Arial" w:cs="Arial"/>
          <w:sz w:val="28"/>
          <w:szCs w:val="28"/>
        </w:rPr>
        <w:t>.</w:t>
      </w:r>
    </w:p>
    <w:p w:rsidR="00524768" w:rsidRPr="00524768" w:rsidRDefault="00524768" w:rsidP="0052476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Планування розвитку землекористування ОТГ</w:t>
      </w:r>
      <w:r>
        <w:rPr>
          <w:rFonts w:ascii="Arial" w:hAnsi="Arial" w:cs="Arial"/>
          <w:sz w:val="28"/>
          <w:szCs w:val="28"/>
        </w:rPr>
        <w:t>.</w:t>
      </w:r>
      <w:r w:rsidRPr="00524768">
        <w:rPr>
          <w:rFonts w:ascii="Arial" w:hAnsi="Arial" w:cs="Arial"/>
          <w:sz w:val="28"/>
          <w:szCs w:val="28"/>
        </w:rPr>
        <w:t xml:space="preserve"> </w:t>
      </w:r>
    </w:p>
    <w:p w:rsidR="00524768" w:rsidRPr="00524768" w:rsidRDefault="00524768" w:rsidP="0052476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lastRenderedPageBreak/>
        <w:t>Документація щодо просторового планування</w:t>
      </w:r>
      <w:r>
        <w:rPr>
          <w:rFonts w:ascii="Arial" w:hAnsi="Arial" w:cs="Arial"/>
          <w:sz w:val="28"/>
          <w:szCs w:val="28"/>
        </w:rPr>
        <w:t>.</w:t>
      </w:r>
      <w:r w:rsidRPr="00524768">
        <w:rPr>
          <w:rFonts w:ascii="Arial" w:hAnsi="Arial" w:cs="Arial"/>
          <w:sz w:val="28"/>
          <w:szCs w:val="28"/>
        </w:rPr>
        <w:t xml:space="preserve"> </w:t>
      </w:r>
    </w:p>
    <w:p w:rsidR="00524768" w:rsidRPr="00524768" w:rsidRDefault="00524768" w:rsidP="0052476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Підходи та методи перерозподілу земель ОТГ</w:t>
      </w:r>
      <w:r>
        <w:rPr>
          <w:rFonts w:ascii="Arial" w:hAnsi="Arial" w:cs="Arial"/>
          <w:sz w:val="28"/>
          <w:szCs w:val="28"/>
        </w:rPr>
        <w:t>.</w:t>
      </w:r>
    </w:p>
    <w:p w:rsidR="00524768" w:rsidRPr="00524768" w:rsidRDefault="00524768" w:rsidP="0052476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Моделювання перерозподілу земель</w:t>
      </w:r>
      <w:r>
        <w:rPr>
          <w:rFonts w:ascii="Arial" w:hAnsi="Arial" w:cs="Arial"/>
          <w:sz w:val="28"/>
          <w:szCs w:val="28"/>
        </w:rPr>
        <w:t>.</w:t>
      </w:r>
      <w:r w:rsidRPr="00524768">
        <w:rPr>
          <w:rFonts w:ascii="Arial" w:hAnsi="Arial" w:cs="Arial"/>
          <w:sz w:val="28"/>
          <w:szCs w:val="28"/>
        </w:rPr>
        <w:t xml:space="preserve"> </w:t>
      </w:r>
    </w:p>
    <w:p w:rsidR="00524768" w:rsidRPr="00524768" w:rsidRDefault="00524768" w:rsidP="0052476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Оцінка ефективності заходів з оптимізації використання земель ОТГ</w:t>
      </w:r>
      <w:r>
        <w:rPr>
          <w:rFonts w:ascii="Arial" w:hAnsi="Arial" w:cs="Arial"/>
          <w:sz w:val="28"/>
          <w:szCs w:val="28"/>
        </w:rPr>
        <w:t>.</w:t>
      </w:r>
      <w:r w:rsidRPr="00524768">
        <w:rPr>
          <w:rFonts w:ascii="Arial" w:hAnsi="Arial" w:cs="Arial"/>
          <w:sz w:val="28"/>
          <w:szCs w:val="28"/>
        </w:rPr>
        <w:t xml:space="preserve"> </w:t>
      </w:r>
    </w:p>
    <w:p w:rsidR="00524768" w:rsidRPr="00524768" w:rsidRDefault="00524768" w:rsidP="0052476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4768">
        <w:rPr>
          <w:rFonts w:ascii="Arial" w:hAnsi="Arial" w:cs="Arial"/>
          <w:b/>
          <w:sz w:val="28"/>
          <w:szCs w:val="28"/>
        </w:rPr>
        <w:t>Теми занять:</w:t>
      </w: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524768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524768" w:rsidRPr="00524768" w:rsidRDefault="00524768" w:rsidP="0052476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Оцінка стану земель ОТГ</w:t>
      </w:r>
      <w:r>
        <w:rPr>
          <w:rFonts w:ascii="Arial" w:hAnsi="Arial" w:cs="Arial"/>
          <w:sz w:val="28"/>
          <w:szCs w:val="28"/>
        </w:rPr>
        <w:t>.</w:t>
      </w:r>
    </w:p>
    <w:p w:rsidR="00524768" w:rsidRPr="00524768" w:rsidRDefault="00524768" w:rsidP="0052476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Прогнозування розвитку землекористування ОТГ</w:t>
      </w:r>
      <w:r>
        <w:rPr>
          <w:rFonts w:ascii="Arial" w:hAnsi="Arial" w:cs="Arial"/>
          <w:sz w:val="28"/>
          <w:szCs w:val="28"/>
        </w:rPr>
        <w:t>.</w:t>
      </w:r>
    </w:p>
    <w:p w:rsidR="00524768" w:rsidRPr="00524768" w:rsidRDefault="00524768" w:rsidP="0052476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Проектування земельних ділянок при упорядкуванні земель ОТГ</w:t>
      </w:r>
      <w:r>
        <w:rPr>
          <w:rFonts w:ascii="Arial" w:hAnsi="Arial" w:cs="Arial"/>
          <w:sz w:val="28"/>
          <w:szCs w:val="28"/>
        </w:rPr>
        <w:t>.</w:t>
      </w:r>
      <w:r w:rsidRPr="00524768">
        <w:rPr>
          <w:rFonts w:ascii="Arial" w:hAnsi="Arial" w:cs="Arial"/>
          <w:sz w:val="28"/>
          <w:szCs w:val="28"/>
        </w:rPr>
        <w:t xml:space="preserve"> </w:t>
      </w:r>
    </w:p>
    <w:p w:rsidR="00524768" w:rsidRPr="00524768" w:rsidRDefault="00524768" w:rsidP="0052476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Усунення просторових недоліків землекористування ОТГ</w:t>
      </w:r>
      <w:r>
        <w:rPr>
          <w:rFonts w:ascii="Arial" w:hAnsi="Arial" w:cs="Arial"/>
          <w:sz w:val="28"/>
          <w:szCs w:val="28"/>
        </w:rPr>
        <w:t>.</w:t>
      </w:r>
      <w:r w:rsidRPr="00524768">
        <w:rPr>
          <w:rFonts w:ascii="Arial" w:hAnsi="Arial" w:cs="Arial"/>
          <w:sz w:val="28"/>
          <w:szCs w:val="28"/>
        </w:rPr>
        <w:t xml:space="preserve"> </w:t>
      </w:r>
    </w:p>
    <w:p w:rsidR="00524768" w:rsidRPr="00524768" w:rsidRDefault="00524768" w:rsidP="0052476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Створення математичних моделей перерозподілу земель в межах ОТГ</w:t>
      </w:r>
      <w:r>
        <w:rPr>
          <w:rFonts w:ascii="Arial" w:hAnsi="Arial" w:cs="Arial"/>
          <w:sz w:val="28"/>
          <w:szCs w:val="28"/>
        </w:rPr>
        <w:t>.</w:t>
      </w:r>
    </w:p>
    <w:p w:rsidR="00524768" w:rsidRPr="00524768" w:rsidRDefault="00524768" w:rsidP="0052476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Створення математичних моделей перерозподілу земель суб’єктів господарювання</w:t>
      </w:r>
      <w:r>
        <w:rPr>
          <w:rFonts w:ascii="Arial" w:hAnsi="Arial" w:cs="Arial"/>
          <w:sz w:val="28"/>
          <w:szCs w:val="28"/>
        </w:rPr>
        <w:t>.</w:t>
      </w:r>
    </w:p>
    <w:p w:rsidR="00524768" w:rsidRPr="00524768" w:rsidRDefault="00524768" w:rsidP="0052476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24768">
        <w:rPr>
          <w:rFonts w:ascii="Arial" w:hAnsi="Arial" w:cs="Arial"/>
          <w:sz w:val="28"/>
          <w:szCs w:val="28"/>
        </w:rPr>
        <w:t>Оцінка результатів перерозподілу земель</w:t>
      </w:r>
      <w:r>
        <w:rPr>
          <w:rFonts w:ascii="Arial" w:hAnsi="Arial" w:cs="Arial"/>
          <w:sz w:val="28"/>
          <w:szCs w:val="28"/>
        </w:rPr>
        <w:t>.</w:t>
      </w:r>
      <w:r w:rsidRPr="00524768">
        <w:rPr>
          <w:rFonts w:ascii="Arial" w:hAnsi="Arial" w:cs="Arial"/>
          <w:sz w:val="28"/>
          <w:szCs w:val="28"/>
        </w:rPr>
        <w:t xml:space="preserve"> </w:t>
      </w:r>
    </w:p>
    <w:p w:rsidR="00524768" w:rsidRPr="00524768" w:rsidRDefault="00524768" w:rsidP="0052476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24768" w:rsidRPr="00524768" w:rsidRDefault="00524768" w:rsidP="0052476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17412F" w:rsidRPr="00524768" w:rsidRDefault="0017412F" w:rsidP="0052476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17412F" w:rsidRPr="00524768" w:rsidSect="005247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43"/>
    <w:rsid w:val="0017412F"/>
    <w:rsid w:val="00524768"/>
    <w:rsid w:val="00681843"/>
    <w:rsid w:val="00F5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1453"/>
  <w15:chartTrackingRefBased/>
  <w15:docId w15:val="{34F847FE-FB5C-4EBB-8DE2-76F012B5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6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76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2020-10-15T09:57:00Z</dcterms:created>
  <dcterms:modified xsi:type="dcterms:W3CDTF">2020-10-16T09:08:00Z</dcterms:modified>
</cp:coreProperties>
</file>