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FD5" w:rsidRPr="00823FD5" w:rsidRDefault="00823FD5" w:rsidP="00823FD5">
      <w:pPr>
        <w:spacing w:after="0" w:line="240" w:lineRule="auto"/>
        <w:jc w:val="center"/>
        <w:rPr>
          <w:rFonts w:ascii="Arial" w:hAnsi="Arial" w:cs="Arial"/>
          <w:b/>
          <w:sz w:val="28"/>
          <w:szCs w:val="28"/>
        </w:rPr>
      </w:pPr>
      <w:r w:rsidRPr="00823FD5">
        <w:rPr>
          <w:rFonts w:ascii="Arial" w:hAnsi="Arial" w:cs="Arial"/>
          <w:b/>
          <w:sz w:val="28"/>
          <w:szCs w:val="28"/>
        </w:rPr>
        <w:t>ОЦІНКА ЗЕМЛІ ТА НЕРУХОМОГО МАЙНА</w:t>
      </w:r>
    </w:p>
    <w:p w:rsidR="00823FD5" w:rsidRPr="00823FD5" w:rsidRDefault="00823FD5" w:rsidP="00823FD5">
      <w:pPr>
        <w:spacing w:after="0" w:line="240" w:lineRule="auto"/>
        <w:jc w:val="center"/>
        <w:rPr>
          <w:rFonts w:ascii="Arial" w:hAnsi="Arial" w:cs="Arial"/>
          <w:b/>
          <w:sz w:val="28"/>
          <w:szCs w:val="28"/>
        </w:rPr>
      </w:pPr>
    </w:p>
    <w:p w:rsidR="00823FD5" w:rsidRPr="00823FD5" w:rsidRDefault="00823FD5" w:rsidP="00823FD5">
      <w:pPr>
        <w:spacing w:after="0" w:line="240" w:lineRule="auto"/>
        <w:jc w:val="center"/>
        <w:rPr>
          <w:rFonts w:ascii="Arial" w:hAnsi="Arial" w:cs="Arial"/>
          <w:b/>
          <w:sz w:val="28"/>
          <w:szCs w:val="28"/>
        </w:rPr>
      </w:pPr>
      <w:r w:rsidRPr="00823FD5">
        <w:rPr>
          <w:rFonts w:ascii="Arial" w:hAnsi="Arial" w:cs="Arial"/>
          <w:b/>
          <w:sz w:val="28"/>
          <w:szCs w:val="28"/>
        </w:rPr>
        <w:t>Кафедра земельного кадастру</w:t>
      </w:r>
    </w:p>
    <w:p w:rsidR="00823FD5" w:rsidRPr="00823FD5" w:rsidRDefault="00823FD5" w:rsidP="00823FD5">
      <w:pPr>
        <w:spacing w:after="0" w:line="240" w:lineRule="auto"/>
        <w:jc w:val="center"/>
        <w:rPr>
          <w:rFonts w:ascii="Arial" w:hAnsi="Arial" w:cs="Arial"/>
          <w:b/>
          <w:sz w:val="28"/>
          <w:szCs w:val="28"/>
        </w:rPr>
      </w:pPr>
    </w:p>
    <w:p w:rsidR="00823FD5" w:rsidRPr="00823FD5" w:rsidRDefault="00823FD5" w:rsidP="00823FD5">
      <w:pPr>
        <w:spacing w:after="0" w:line="240" w:lineRule="auto"/>
        <w:jc w:val="center"/>
        <w:rPr>
          <w:rFonts w:ascii="Arial" w:hAnsi="Arial" w:cs="Arial"/>
          <w:b/>
          <w:sz w:val="28"/>
          <w:szCs w:val="28"/>
        </w:rPr>
      </w:pPr>
      <w:r w:rsidRPr="00823FD5">
        <w:rPr>
          <w:rFonts w:ascii="Arial" w:hAnsi="Arial" w:cs="Arial"/>
          <w:b/>
          <w:sz w:val="28"/>
          <w:szCs w:val="28"/>
        </w:rPr>
        <w:t>Факультет землевпорядкування</w:t>
      </w:r>
    </w:p>
    <w:p w:rsidR="00823FD5" w:rsidRPr="00823FD5" w:rsidRDefault="00823FD5" w:rsidP="00823FD5">
      <w:pPr>
        <w:spacing w:after="0" w:line="240" w:lineRule="auto"/>
        <w:jc w:val="center"/>
        <w:rPr>
          <w:rFonts w:ascii="Arial" w:hAnsi="Arial" w:cs="Arial"/>
          <w:b/>
          <w:sz w:val="28"/>
          <w:szCs w:val="28"/>
        </w:rPr>
      </w:pPr>
    </w:p>
    <w:tbl>
      <w:tblPr>
        <w:tblStyle w:val="a3"/>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43"/>
      </w:tblGrid>
      <w:tr w:rsidR="00823FD5" w:rsidRPr="00823FD5" w:rsidTr="00823FD5">
        <w:tc>
          <w:tcPr>
            <w:tcW w:w="3969" w:type="dxa"/>
          </w:tcPr>
          <w:p w:rsidR="00823FD5" w:rsidRPr="00823FD5" w:rsidRDefault="00823FD5" w:rsidP="00823FD5">
            <w:pPr>
              <w:rPr>
                <w:rFonts w:ascii="Arial" w:hAnsi="Arial" w:cs="Arial"/>
                <w:b/>
                <w:i/>
                <w:sz w:val="28"/>
                <w:szCs w:val="28"/>
              </w:rPr>
            </w:pPr>
            <w:r w:rsidRPr="00823FD5">
              <w:rPr>
                <w:rFonts w:ascii="Arial" w:hAnsi="Arial" w:cs="Arial"/>
                <w:b/>
                <w:i/>
                <w:sz w:val="28"/>
                <w:szCs w:val="28"/>
              </w:rPr>
              <w:t>Лектор</w:t>
            </w:r>
          </w:p>
        </w:tc>
        <w:tc>
          <w:tcPr>
            <w:tcW w:w="5943" w:type="dxa"/>
          </w:tcPr>
          <w:p w:rsidR="00823FD5" w:rsidRPr="00823FD5" w:rsidRDefault="00823FD5" w:rsidP="00823FD5">
            <w:pPr>
              <w:rPr>
                <w:rFonts w:ascii="Arial" w:hAnsi="Arial" w:cs="Arial"/>
                <w:b/>
                <w:sz w:val="28"/>
                <w:szCs w:val="28"/>
              </w:rPr>
            </w:pPr>
            <w:proofErr w:type="spellStart"/>
            <w:r w:rsidRPr="00823FD5">
              <w:rPr>
                <w:rFonts w:ascii="Arial" w:hAnsi="Arial" w:cs="Arial"/>
                <w:b/>
                <w:sz w:val="28"/>
                <w:szCs w:val="28"/>
              </w:rPr>
              <w:t>к.е.н</w:t>
            </w:r>
            <w:proofErr w:type="spellEnd"/>
            <w:r w:rsidRPr="00823FD5">
              <w:rPr>
                <w:rFonts w:ascii="Arial" w:hAnsi="Arial" w:cs="Arial"/>
                <w:b/>
                <w:sz w:val="28"/>
                <w:szCs w:val="28"/>
              </w:rPr>
              <w:t xml:space="preserve">., доцент </w:t>
            </w:r>
            <w:proofErr w:type="spellStart"/>
            <w:r w:rsidRPr="00823FD5">
              <w:rPr>
                <w:rFonts w:ascii="Arial" w:hAnsi="Arial" w:cs="Arial"/>
                <w:b/>
                <w:sz w:val="28"/>
                <w:szCs w:val="28"/>
              </w:rPr>
              <w:t>Бавровська</w:t>
            </w:r>
            <w:proofErr w:type="spellEnd"/>
            <w:r w:rsidRPr="00823FD5">
              <w:rPr>
                <w:rFonts w:ascii="Arial" w:hAnsi="Arial" w:cs="Arial"/>
                <w:b/>
                <w:sz w:val="28"/>
                <w:szCs w:val="28"/>
              </w:rPr>
              <w:t xml:space="preserve"> Н.М., </w:t>
            </w:r>
          </w:p>
          <w:p w:rsidR="00823FD5" w:rsidRPr="00823FD5" w:rsidRDefault="00823FD5" w:rsidP="00823FD5">
            <w:pPr>
              <w:rPr>
                <w:rFonts w:ascii="Arial" w:hAnsi="Arial" w:cs="Arial"/>
                <w:b/>
                <w:sz w:val="28"/>
                <w:szCs w:val="28"/>
              </w:rPr>
            </w:pPr>
            <w:proofErr w:type="spellStart"/>
            <w:r w:rsidRPr="00823FD5">
              <w:rPr>
                <w:rFonts w:ascii="Arial" w:hAnsi="Arial" w:cs="Arial"/>
                <w:b/>
                <w:sz w:val="28"/>
                <w:szCs w:val="28"/>
              </w:rPr>
              <w:t>д.е.н</w:t>
            </w:r>
            <w:proofErr w:type="spellEnd"/>
            <w:r w:rsidRPr="00823FD5">
              <w:rPr>
                <w:rFonts w:ascii="Arial" w:hAnsi="Arial" w:cs="Arial"/>
                <w:b/>
                <w:sz w:val="28"/>
                <w:szCs w:val="28"/>
              </w:rPr>
              <w:t xml:space="preserve">., </w:t>
            </w:r>
            <w:proofErr w:type="spellStart"/>
            <w:r w:rsidRPr="00823FD5">
              <w:rPr>
                <w:rFonts w:ascii="Arial" w:hAnsi="Arial" w:cs="Arial"/>
                <w:b/>
                <w:sz w:val="28"/>
                <w:szCs w:val="28"/>
              </w:rPr>
              <w:t>с.н.с</w:t>
            </w:r>
            <w:proofErr w:type="spellEnd"/>
            <w:r w:rsidRPr="00823FD5">
              <w:rPr>
                <w:rFonts w:ascii="Arial" w:hAnsi="Arial" w:cs="Arial"/>
                <w:b/>
                <w:sz w:val="28"/>
                <w:szCs w:val="28"/>
              </w:rPr>
              <w:t xml:space="preserve">. </w:t>
            </w:r>
            <w:proofErr w:type="spellStart"/>
            <w:r w:rsidRPr="00823FD5">
              <w:rPr>
                <w:rFonts w:ascii="Arial" w:hAnsi="Arial" w:cs="Arial"/>
                <w:b/>
                <w:sz w:val="28"/>
                <w:szCs w:val="28"/>
              </w:rPr>
              <w:t>Заяць</w:t>
            </w:r>
            <w:proofErr w:type="spellEnd"/>
            <w:r w:rsidRPr="00823FD5">
              <w:rPr>
                <w:rFonts w:ascii="Arial" w:hAnsi="Arial" w:cs="Arial"/>
                <w:b/>
                <w:sz w:val="28"/>
                <w:szCs w:val="28"/>
              </w:rPr>
              <w:t xml:space="preserve"> В.М.</w:t>
            </w:r>
          </w:p>
        </w:tc>
      </w:tr>
      <w:tr w:rsidR="00823FD5" w:rsidRPr="00823FD5" w:rsidTr="00823FD5">
        <w:tc>
          <w:tcPr>
            <w:tcW w:w="3969" w:type="dxa"/>
          </w:tcPr>
          <w:p w:rsidR="00823FD5" w:rsidRPr="00823FD5" w:rsidRDefault="00823FD5" w:rsidP="00823FD5">
            <w:pPr>
              <w:rPr>
                <w:rFonts w:ascii="Arial" w:hAnsi="Arial" w:cs="Arial"/>
                <w:b/>
                <w:i/>
                <w:sz w:val="28"/>
                <w:szCs w:val="28"/>
              </w:rPr>
            </w:pPr>
            <w:r w:rsidRPr="00823FD5">
              <w:rPr>
                <w:rFonts w:ascii="Arial" w:hAnsi="Arial" w:cs="Arial"/>
                <w:b/>
                <w:i/>
                <w:sz w:val="28"/>
                <w:szCs w:val="28"/>
              </w:rPr>
              <w:t>Семестр</w:t>
            </w:r>
          </w:p>
        </w:tc>
        <w:tc>
          <w:tcPr>
            <w:tcW w:w="5943" w:type="dxa"/>
          </w:tcPr>
          <w:p w:rsidR="00823FD5" w:rsidRPr="00823FD5" w:rsidRDefault="00823FD5" w:rsidP="00823FD5">
            <w:pPr>
              <w:rPr>
                <w:rFonts w:ascii="Arial" w:hAnsi="Arial" w:cs="Arial"/>
                <w:b/>
                <w:sz w:val="28"/>
                <w:szCs w:val="28"/>
              </w:rPr>
            </w:pPr>
            <w:r>
              <w:rPr>
                <w:rFonts w:ascii="Arial" w:hAnsi="Arial" w:cs="Arial"/>
                <w:b/>
                <w:sz w:val="28"/>
                <w:szCs w:val="28"/>
              </w:rPr>
              <w:t>2</w:t>
            </w:r>
          </w:p>
        </w:tc>
      </w:tr>
      <w:tr w:rsidR="00823FD5" w:rsidRPr="00823FD5" w:rsidTr="00823FD5">
        <w:tc>
          <w:tcPr>
            <w:tcW w:w="3969" w:type="dxa"/>
          </w:tcPr>
          <w:p w:rsidR="00823FD5" w:rsidRPr="00823FD5" w:rsidRDefault="00823FD5" w:rsidP="00823FD5">
            <w:pPr>
              <w:rPr>
                <w:rFonts w:ascii="Arial" w:hAnsi="Arial" w:cs="Arial"/>
                <w:b/>
                <w:i/>
                <w:sz w:val="28"/>
                <w:szCs w:val="28"/>
              </w:rPr>
            </w:pPr>
            <w:r w:rsidRPr="00823FD5">
              <w:rPr>
                <w:rFonts w:ascii="Arial" w:hAnsi="Arial" w:cs="Arial"/>
                <w:b/>
                <w:i/>
                <w:sz w:val="28"/>
                <w:szCs w:val="28"/>
              </w:rPr>
              <w:t>Освітній ступінь</w:t>
            </w:r>
          </w:p>
        </w:tc>
        <w:tc>
          <w:tcPr>
            <w:tcW w:w="5943" w:type="dxa"/>
          </w:tcPr>
          <w:p w:rsidR="00823FD5" w:rsidRPr="00823FD5" w:rsidRDefault="00823FD5" w:rsidP="00823FD5">
            <w:pPr>
              <w:rPr>
                <w:rFonts w:ascii="Arial" w:hAnsi="Arial" w:cs="Arial"/>
                <w:b/>
                <w:sz w:val="28"/>
                <w:szCs w:val="28"/>
              </w:rPr>
            </w:pPr>
            <w:r w:rsidRPr="00823FD5">
              <w:rPr>
                <w:rFonts w:ascii="Arial" w:hAnsi="Arial" w:cs="Arial"/>
                <w:b/>
                <w:sz w:val="28"/>
                <w:szCs w:val="28"/>
              </w:rPr>
              <w:t>Магістр</w:t>
            </w:r>
          </w:p>
        </w:tc>
      </w:tr>
      <w:tr w:rsidR="00823FD5" w:rsidRPr="00823FD5" w:rsidTr="00823FD5">
        <w:tc>
          <w:tcPr>
            <w:tcW w:w="3969" w:type="dxa"/>
          </w:tcPr>
          <w:p w:rsidR="00823FD5" w:rsidRPr="00823FD5" w:rsidRDefault="00823FD5" w:rsidP="00823FD5">
            <w:pPr>
              <w:rPr>
                <w:rFonts w:ascii="Arial" w:hAnsi="Arial" w:cs="Arial"/>
                <w:b/>
                <w:i/>
                <w:sz w:val="28"/>
                <w:szCs w:val="28"/>
              </w:rPr>
            </w:pPr>
            <w:r w:rsidRPr="00823FD5">
              <w:rPr>
                <w:rFonts w:ascii="Arial" w:hAnsi="Arial" w:cs="Arial"/>
                <w:b/>
                <w:i/>
                <w:sz w:val="28"/>
                <w:szCs w:val="28"/>
              </w:rPr>
              <w:t>Кількість кредитів ЄКТС</w:t>
            </w:r>
          </w:p>
        </w:tc>
        <w:tc>
          <w:tcPr>
            <w:tcW w:w="5943" w:type="dxa"/>
          </w:tcPr>
          <w:p w:rsidR="00823FD5" w:rsidRPr="00823FD5" w:rsidRDefault="00823FD5" w:rsidP="00823FD5">
            <w:pPr>
              <w:rPr>
                <w:rFonts w:ascii="Arial" w:hAnsi="Arial" w:cs="Arial"/>
                <w:b/>
                <w:sz w:val="28"/>
                <w:szCs w:val="28"/>
              </w:rPr>
            </w:pPr>
            <w:r w:rsidRPr="00823FD5">
              <w:rPr>
                <w:rFonts w:ascii="Arial" w:hAnsi="Arial" w:cs="Arial"/>
                <w:b/>
                <w:sz w:val="28"/>
                <w:szCs w:val="28"/>
              </w:rPr>
              <w:t>4</w:t>
            </w:r>
          </w:p>
        </w:tc>
      </w:tr>
      <w:tr w:rsidR="00823FD5" w:rsidRPr="00823FD5" w:rsidTr="00823FD5">
        <w:tc>
          <w:tcPr>
            <w:tcW w:w="3969" w:type="dxa"/>
          </w:tcPr>
          <w:p w:rsidR="00823FD5" w:rsidRPr="00823FD5" w:rsidRDefault="00823FD5" w:rsidP="00823FD5">
            <w:pPr>
              <w:rPr>
                <w:rFonts w:ascii="Arial" w:hAnsi="Arial" w:cs="Arial"/>
                <w:b/>
                <w:i/>
                <w:sz w:val="28"/>
                <w:szCs w:val="28"/>
              </w:rPr>
            </w:pPr>
            <w:r w:rsidRPr="00823FD5">
              <w:rPr>
                <w:rFonts w:ascii="Arial" w:hAnsi="Arial" w:cs="Arial"/>
                <w:b/>
                <w:i/>
                <w:sz w:val="28"/>
                <w:szCs w:val="28"/>
              </w:rPr>
              <w:t>Форма контролю</w:t>
            </w:r>
          </w:p>
        </w:tc>
        <w:tc>
          <w:tcPr>
            <w:tcW w:w="5943" w:type="dxa"/>
          </w:tcPr>
          <w:p w:rsidR="00823FD5" w:rsidRPr="00823FD5" w:rsidRDefault="00823FD5" w:rsidP="00823FD5">
            <w:pPr>
              <w:rPr>
                <w:rFonts w:ascii="Arial" w:hAnsi="Arial" w:cs="Arial"/>
                <w:b/>
                <w:sz w:val="28"/>
                <w:szCs w:val="28"/>
              </w:rPr>
            </w:pPr>
            <w:r w:rsidRPr="00823FD5">
              <w:rPr>
                <w:rFonts w:ascii="Arial" w:hAnsi="Arial" w:cs="Arial"/>
                <w:b/>
                <w:sz w:val="28"/>
                <w:szCs w:val="28"/>
              </w:rPr>
              <w:t>Екзамен</w:t>
            </w:r>
          </w:p>
        </w:tc>
      </w:tr>
      <w:tr w:rsidR="00823FD5" w:rsidRPr="00823FD5" w:rsidTr="00823FD5">
        <w:tc>
          <w:tcPr>
            <w:tcW w:w="3969" w:type="dxa"/>
          </w:tcPr>
          <w:p w:rsidR="00823FD5" w:rsidRPr="00823FD5" w:rsidRDefault="00823FD5" w:rsidP="00823FD5">
            <w:pPr>
              <w:rPr>
                <w:rFonts w:ascii="Arial" w:hAnsi="Arial" w:cs="Arial"/>
                <w:b/>
                <w:i/>
                <w:sz w:val="28"/>
                <w:szCs w:val="28"/>
              </w:rPr>
            </w:pPr>
            <w:r w:rsidRPr="00823FD5">
              <w:rPr>
                <w:rFonts w:ascii="Arial" w:hAnsi="Arial" w:cs="Arial"/>
                <w:b/>
                <w:i/>
                <w:sz w:val="28"/>
                <w:szCs w:val="28"/>
              </w:rPr>
              <w:t>Аудиторні години</w:t>
            </w:r>
          </w:p>
        </w:tc>
        <w:tc>
          <w:tcPr>
            <w:tcW w:w="5943" w:type="dxa"/>
          </w:tcPr>
          <w:p w:rsidR="00823FD5" w:rsidRPr="00823FD5" w:rsidRDefault="00823FD5" w:rsidP="00823FD5">
            <w:pPr>
              <w:rPr>
                <w:rFonts w:ascii="Arial" w:hAnsi="Arial" w:cs="Arial"/>
                <w:b/>
                <w:sz w:val="28"/>
                <w:szCs w:val="28"/>
              </w:rPr>
            </w:pPr>
            <w:r w:rsidRPr="00823FD5">
              <w:rPr>
                <w:rFonts w:ascii="Arial" w:hAnsi="Arial" w:cs="Arial"/>
                <w:b/>
                <w:sz w:val="28"/>
                <w:szCs w:val="28"/>
              </w:rPr>
              <w:t>30 (15 год лекцій, 15 год практичних чи лабораторних)</w:t>
            </w:r>
          </w:p>
        </w:tc>
      </w:tr>
    </w:tbl>
    <w:p w:rsidR="00823FD5" w:rsidRPr="00823FD5" w:rsidRDefault="00823FD5" w:rsidP="00823FD5">
      <w:pPr>
        <w:spacing w:after="0" w:line="240" w:lineRule="auto"/>
        <w:jc w:val="both"/>
        <w:rPr>
          <w:rFonts w:ascii="Arial" w:hAnsi="Arial" w:cs="Arial"/>
          <w:b/>
          <w:sz w:val="28"/>
          <w:szCs w:val="28"/>
        </w:rPr>
      </w:pPr>
    </w:p>
    <w:p w:rsidR="00823FD5" w:rsidRPr="00823FD5" w:rsidRDefault="00823FD5" w:rsidP="00823FD5">
      <w:pPr>
        <w:spacing w:after="0" w:line="240" w:lineRule="auto"/>
        <w:jc w:val="center"/>
        <w:rPr>
          <w:rFonts w:ascii="Arial" w:hAnsi="Arial" w:cs="Arial"/>
          <w:i/>
          <w:sz w:val="28"/>
          <w:szCs w:val="28"/>
        </w:rPr>
      </w:pPr>
      <w:r w:rsidRPr="00823FD5">
        <w:rPr>
          <w:rFonts w:ascii="Arial" w:hAnsi="Arial" w:cs="Arial"/>
          <w:b/>
          <w:sz w:val="28"/>
          <w:szCs w:val="28"/>
        </w:rPr>
        <w:t>Загальний опис дисципліни</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Дисципліна «Оцінка землі та нерухомого майна» спрямована на формування системи спеціальних і прикладних знань та практичних навичок у студентів щодо оцінки нерухомості, необхідних для правильного практичного застосування методів оцінки нерухомості.</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Предметом вивчення дисципліни «Оцінка землі та нерухомого майна» є система економічних, організаційних і правових знань щодо оцінки майна, заснованих на досягненнях науки, чинних законодавчих та нормативних актах, що регулюють управління різними об’єктами майна та здійснення з ними цивільно-правових угод з метою отримання бажаного комерційного та соціального результату.</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 xml:space="preserve">Основні завдання дисципліни «Оцінка землі та нерухомого майна» дати студентам необхідні знання, що дозволять їм володіти виконанням нормативної та експертної оцінки нерухомого майна. Вивчення дисципліни має підготувати студентів до подальшого творчого осмислення і вирішення конкретних практичних і методичних задач, пов’язаних з оцінкою об’єкта нерухомості у конкретних умовах. </w:t>
      </w:r>
    </w:p>
    <w:p w:rsidR="00823FD5" w:rsidRPr="00823FD5" w:rsidRDefault="00823FD5" w:rsidP="00823FD5">
      <w:pPr>
        <w:spacing w:after="0" w:line="240" w:lineRule="auto"/>
        <w:jc w:val="center"/>
        <w:rPr>
          <w:rFonts w:ascii="Arial" w:hAnsi="Arial" w:cs="Arial"/>
          <w:i/>
          <w:sz w:val="28"/>
          <w:szCs w:val="28"/>
        </w:rPr>
      </w:pPr>
    </w:p>
    <w:p w:rsidR="00823FD5" w:rsidRPr="00823FD5" w:rsidRDefault="00823FD5" w:rsidP="00823FD5">
      <w:pPr>
        <w:spacing w:after="0" w:line="240" w:lineRule="auto"/>
        <w:jc w:val="center"/>
        <w:rPr>
          <w:rFonts w:ascii="Arial" w:hAnsi="Arial" w:cs="Arial"/>
          <w:b/>
          <w:sz w:val="28"/>
          <w:szCs w:val="28"/>
        </w:rPr>
      </w:pPr>
      <w:r w:rsidRPr="00823FD5">
        <w:rPr>
          <w:rFonts w:ascii="Arial" w:hAnsi="Arial" w:cs="Arial"/>
          <w:b/>
          <w:sz w:val="28"/>
          <w:szCs w:val="28"/>
        </w:rPr>
        <w:t>Теми лекцій:</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1. Професійна оціночна діяльність в Укр</w:t>
      </w:r>
      <w:r>
        <w:rPr>
          <w:rFonts w:ascii="Arial" w:hAnsi="Arial" w:cs="Arial"/>
          <w:sz w:val="28"/>
          <w:szCs w:val="28"/>
        </w:rPr>
        <w:t>аїні та вимоги до її здійснення.</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2. Стандарти оціночної діяльності</w:t>
      </w:r>
      <w:r>
        <w:rPr>
          <w:rFonts w:ascii="Arial" w:hAnsi="Arial" w:cs="Arial"/>
          <w:sz w:val="28"/>
          <w:szCs w:val="28"/>
        </w:rPr>
        <w:t>.</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3. Об'єкт оцінки, його ідентифікація. Організація процесу оцінки</w:t>
      </w:r>
      <w:r>
        <w:rPr>
          <w:rFonts w:ascii="Arial" w:hAnsi="Arial" w:cs="Arial"/>
          <w:sz w:val="28"/>
          <w:szCs w:val="28"/>
        </w:rPr>
        <w:t>.</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4. Екс</w:t>
      </w:r>
      <w:r>
        <w:rPr>
          <w:rFonts w:ascii="Arial" w:hAnsi="Arial" w:cs="Arial"/>
          <w:sz w:val="28"/>
          <w:szCs w:val="28"/>
        </w:rPr>
        <w:t>пертна оцінка земельних ділянок.</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5.  Витратний підхід оцінки нерухомого майна</w:t>
      </w:r>
      <w:r>
        <w:rPr>
          <w:rFonts w:ascii="Arial" w:hAnsi="Arial" w:cs="Arial"/>
          <w:sz w:val="28"/>
          <w:szCs w:val="28"/>
        </w:rPr>
        <w:t>.</w:t>
      </w:r>
      <w:r w:rsidRPr="00823FD5">
        <w:rPr>
          <w:rFonts w:ascii="Arial" w:hAnsi="Arial" w:cs="Arial"/>
          <w:sz w:val="28"/>
          <w:szCs w:val="28"/>
        </w:rPr>
        <w:t xml:space="preserve"> </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6 Дохідний підхід оцінки нерухомого майна</w:t>
      </w:r>
      <w:r>
        <w:rPr>
          <w:rFonts w:ascii="Arial" w:hAnsi="Arial" w:cs="Arial"/>
          <w:sz w:val="28"/>
          <w:szCs w:val="28"/>
        </w:rPr>
        <w:t>.</w:t>
      </w:r>
      <w:r w:rsidRPr="00823FD5">
        <w:rPr>
          <w:rFonts w:ascii="Arial" w:hAnsi="Arial" w:cs="Arial"/>
          <w:sz w:val="28"/>
          <w:szCs w:val="28"/>
        </w:rPr>
        <w:t xml:space="preserve"> </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7. Порівняльний підхід оцінки нерухомого майна</w:t>
      </w:r>
      <w:r>
        <w:rPr>
          <w:rFonts w:ascii="Arial" w:hAnsi="Arial" w:cs="Arial"/>
          <w:sz w:val="28"/>
          <w:szCs w:val="28"/>
        </w:rPr>
        <w:t>.</w:t>
      </w:r>
      <w:r w:rsidRPr="00823FD5">
        <w:rPr>
          <w:rFonts w:ascii="Arial" w:hAnsi="Arial" w:cs="Arial"/>
          <w:sz w:val="28"/>
          <w:szCs w:val="28"/>
        </w:rPr>
        <w:t xml:space="preserve"> </w:t>
      </w:r>
    </w:p>
    <w:p w:rsidR="00823FD5" w:rsidRPr="00823FD5" w:rsidRDefault="00823FD5" w:rsidP="00823FD5">
      <w:pPr>
        <w:spacing w:after="0" w:line="240" w:lineRule="auto"/>
        <w:ind w:firstLine="709"/>
        <w:jc w:val="both"/>
        <w:rPr>
          <w:rFonts w:ascii="Arial" w:hAnsi="Arial" w:cs="Arial"/>
          <w:sz w:val="28"/>
          <w:szCs w:val="28"/>
        </w:rPr>
      </w:pPr>
      <w:r w:rsidRPr="00823FD5">
        <w:rPr>
          <w:rFonts w:ascii="Arial" w:hAnsi="Arial" w:cs="Arial"/>
          <w:sz w:val="28"/>
          <w:szCs w:val="28"/>
        </w:rPr>
        <w:t>8. Організаційно-процедурні питання оцінки майна</w:t>
      </w:r>
      <w:r>
        <w:rPr>
          <w:rFonts w:ascii="Arial" w:hAnsi="Arial" w:cs="Arial"/>
          <w:sz w:val="28"/>
          <w:szCs w:val="28"/>
        </w:rPr>
        <w:t>.</w:t>
      </w:r>
      <w:r w:rsidRPr="00823FD5">
        <w:rPr>
          <w:rFonts w:ascii="Arial" w:hAnsi="Arial" w:cs="Arial"/>
          <w:sz w:val="28"/>
          <w:szCs w:val="28"/>
        </w:rPr>
        <w:t xml:space="preserve"> </w:t>
      </w:r>
    </w:p>
    <w:p w:rsidR="00823FD5" w:rsidRPr="00823FD5" w:rsidRDefault="00823FD5" w:rsidP="00823FD5">
      <w:pPr>
        <w:spacing w:after="0" w:line="240" w:lineRule="auto"/>
        <w:jc w:val="center"/>
        <w:rPr>
          <w:rFonts w:ascii="Arial" w:hAnsi="Arial" w:cs="Arial"/>
          <w:b/>
          <w:sz w:val="28"/>
          <w:szCs w:val="28"/>
        </w:rPr>
      </w:pPr>
    </w:p>
    <w:p w:rsidR="00823FD5" w:rsidRPr="00823FD5" w:rsidRDefault="00823FD5" w:rsidP="00823FD5">
      <w:pPr>
        <w:spacing w:after="0" w:line="240" w:lineRule="auto"/>
        <w:jc w:val="center"/>
        <w:rPr>
          <w:rFonts w:ascii="Arial" w:hAnsi="Arial" w:cs="Arial"/>
          <w:sz w:val="28"/>
          <w:szCs w:val="28"/>
        </w:rPr>
      </w:pPr>
    </w:p>
    <w:p w:rsidR="00823FD5" w:rsidRPr="00823FD5" w:rsidRDefault="00823FD5" w:rsidP="00823FD5">
      <w:pPr>
        <w:spacing w:after="0" w:line="240" w:lineRule="auto"/>
        <w:jc w:val="center"/>
        <w:rPr>
          <w:rFonts w:ascii="Arial" w:hAnsi="Arial" w:cs="Arial"/>
          <w:b/>
          <w:sz w:val="28"/>
          <w:szCs w:val="28"/>
        </w:rPr>
      </w:pPr>
      <w:r w:rsidRPr="00823FD5">
        <w:rPr>
          <w:rFonts w:ascii="Arial" w:hAnsi="Arial" w:cs="Arial"/>
          <w:b/>
          <w:sz w:val="28"/>
          <w:szCs w:val="28"/>
        </w:rPr>
        <w:lastRenderedPageBreak/>
        <w:t>Теми занять:</w:t>
      </w:r>
    </w:p>
    <w:p w:rsidR="00823FD5" w:rsidRPr="00823FD5" w:rsidRDefault="00823FD5" w:rsidP="00823FD5">
      <w:pPr>
        <w:spacing w:after="0" w:line="240" w:lineRule="auto"/>
        <w:jc w:val="center"/>
        <w:rPr>
          <w:rFonts w:ascii="Arial" w:hAnsi="Arial" w:cs="Arial"/>
          <w:b/>
          <w:i/>
          <w:sz w:val="28"/>
          <w:szCs w:val="28"/>
        </w:rPr>
      </w:pPr>
      <w:r w:rsidRPr="00823FD5">
        <w:rPr>
          <w:rFonts w:ascii="Arial" w:hAnsi="Arial" w:cs="Arial"/>
          <w:b/>
          <w:i/>
          <w:sz w:val="28"/>
          <w:szCs w:val="28"/>
        </w:rPr>
        <w:t xml:space="preserve">(семінарських, практичних, лабораторних) </w:t>
      </w:r>
    </w:p>
    <w:p w:rsidR="00823FD5" w:rsidRPr="00823FD5" w:rsidRDefault="00823FD5" w:rsidP="00823FD5">
      <w:pPr>
        <w:pStyle w:val="a4"/>
        <w:numPr>
          <w:ilvl w:val="0"/>
          <w:numId w:val="1"/>
        </w:numPr>
        <w:tabs>
          <w:tab w:val="left" w:pos="1134"/>
        </w:tabs>
        <w:spacing w:after="0" w:line="240" w:lineRule="auto"/>
        <w:ind w:left="0" w:firstLine="709"/>
        <w:jc w:val="both"/>
        <w:rPr>
          <w:rFonts w:ascii="Arial" w:hAnsi="Arial" w:cs="Arial"/>
          <w:sz w:val="28"/>
          <w:szCs w:val="28"/>
        </w:rPr>
      </w:pPr>
      <w:r w:rsidRPr="00823FD5">
        <w:rPr>
          <w:rFonts w:ascii="Arial" w:hAnsi="Arial" w:cs="Arial"/>
          <w:sz w:val="28"/>
          <w:szCs w:val="28"/>
        </w:rPr>
        <w:t xml:space="preserve"> Розрахунок ринкової вартості земельної ділянки за допомогою методичного підходу, що ґрунтується на зіставленні цін продажу подібних земельних ділянок</w:t>
      </w:r>
      <w:r>
        <w:rPr>
          <w:rFonts w:ascii="Arial" w:hAnsi="Arial" w:cs="Arial"/>
          <w:sz w:val="28"/>
          <w:szCs w:val="28"/>
        </w:rPr>
        <w:t>.</w:t>
      </w:r>
    </w:p>
    <w:p w:rsidR="00823FD5" w:rsidRPr="00823FD5" w:rsidRDefault="00823FD5" w:rsidP="00823FD5">
      <w:pPr>
        <w:pStyle w:val="a4"/>
        <w:numPr>
          <w:ilvl w:val="0"/>
          <w:numId w:val="1"/>
        </w:numPr>
        <w:tabs>
          <w:tab w:val="left" w:pos="1134"/>
        </w:tabs>
        <w:spacing w:after="0" w:line="240" w:lineRule="auto"/>
        <w:ind w:left="0" w:firstLine="709"/>
        <w:jc w:val="both"/>
        <w:rPr>
          <w:rFonts w:ascii="Arial" w:hAnsi="Arial" w:cs="Arial"/>
          <w:sz w:val="28"/>
          <w:szCs w:val="28"/>
        </w:rPr>
      </w:pPr>
      <w:r w:rsidRPr="00823FD5">
        <w:rPr>
          <w:rFonts w:ascii="Arial" w:hAnsi="Arial" w:cs="Arial"/>
          <w:sz w:val="28"/>
          <w:szCs w:val="28"/>
        </w:rPr>
        <w:t>Методичний підхід капіталізації чистого операційного або рентного доходу від використання земельних ділянок</w:t>
      </w:r>
      <w:r>
        <w:rPr>
          <w:rFonts w:ascii="Arial" w:hAnsi="Arial" w:cs="Arial"/>
          <w:sz w:val="28"/>
          <w:szCs w:val="28"/>
        </w:rPr>
        <w:t>.</w:t>
      </w:r>
    </w:p>
    <w:p w:rsidR="00823FD5" w:rsidRPr="00823FD5" w:rsidRDefault="00823FD5" w:rsidP="00823FD5">
      <w:pPr>
        <w:pStyle w:val="a4"/>
        <w:numPr>
          <w:ilvl w:val="0"/>
          <w:numId w:val="1"/>
        </w:numPr>
        <w:tabs>
          <w:tab w:val="left" w:pos="1134"/>
        </w:tabs>
        <w:spacing w:after="0" w:line="240" w:lineRule="auto"/>
        <w:ind w:left="0" w:firstLine="709"/>
        <w:jc w:val="both"/>
        <w:rPr>
          <w:rFonts w:ascii="Arial" w:hAnsi="Arial" w:cs="Arial"/>
          <w:sz w:val="28"/>
          <w:szCs w:val="28"/>
        </w:rPr>
      </w:pPr>
      <w:r w:rsidRPr="00823FD5">
        <w:rPr>
          <w:rFonts w:ascii="Arial" w:hAnsi="Arial" w:cs="Arial"/>
          <w:sz w:val="28"/>
          <w:szCs w:val="28"/>
        </w:rPr>
        <w:t>Оформлення звіту з експертної грошової оцінки земельної ділянки.</w:t>
      </w:r>
    </w:p>
    <w:p w:rsidR="00823FD5" w:rsidRPr="00823FD5" w:rsidRDefault="00823FD5" w:rsidP="00823FD5">
      <w:pPr>
        <w:pStyle w:val="a4"/>
        <w:numPr>
          <w:ilvl w:val="0"/>
          <w:numId w:val="1"/>
        </w:numPr>
        <w:tabs>
          <w:tab w:val="left" w:pos="1134"/>
        </w:tabs>
        <w:spacing w:after="0" w:line="240" w:lineRule="auto"/>
        <w:ind w:left="0" w:firstLine="709"/>
        <w:jc w:val="both"/>
        <w:rPr>
          <w:rFonts w:ascii="Arial" w:hAnsi="Arial" w:cs="Arial"/>
          <w:sz w:val="28"/>
          <w:szCs w:val="28"/>
        </w:rPr>
      </w:pPr>
      <w:r w:rsidRPr="00823FD5">
        <w:rPr>
          <w:rFonts w:ascii="Arial" w:hAnsi="Arial" w:cs="Arial"/>
          <w:sz w:val="28"/>
          <w:szCs w:val="28"/>
        </w:rPr>
        <w:t>Витратний підхід до оцінки ринкової вартості нерухомості</w:t>
      </w:r>
      <w:r>
        <w:rPr>
          <w:rFonts w:ascii="Arial" w:hAnsi="Arial" w:cs="Arial"/>
          <w:sz w:val="28"/>
          <w:szCs w:val="28"/>
        </w:rPr>
        <w:t>.</w:t>
      </w:r>
    </w:p>
    <w:p w:rsidR="00823FD5" w:rsidRPr="00823FD5" w:rsidRDefault="00823FD5" w:rsidP="00823FD5">
      <w:pPr>
        <w:pStyle w:val="a4"/>
        <w:numPr>
          <w:ilvl w:val="0"/>
          <w:numId w:val="1"/>
        </w:numPr>
        <w:tabs>
          <w:tab w:val="left" w:pos="1134"/>
        </w:tabs>
        <w:spacing w:after="0" w:line="240" w:lineRule="auto"/>
        <w:ind w:left="0" w:firstLine="709"/>
        <w:jc w:val="both"/>
        <w:rPr>
          <w:rFonts w:ascii="Arial" w:hAnsi="Arial" w:cs="Arial"/>
          <w:sz w:val="28"/>
          <w:szCs w:val="28"/>
        </w:rPr>
      </w:pPr>
      <w:r w:rsidRPr="00823FD5">
        <w:rPr>
          <w:rFonts w:ascii="Arial" w:hAnsi="Arial" w:cs="Arial"/>
          <w:sz w:val="28"/>
          <w:szCs w:val="28"/>
        </w:rPr>
        <w:t>Дохідний підхід до визначення ринкової вартості землі та нерухомості</w:t>
      </w:r>
      <w:r>
        <w:rPr>
          <w:rFonts w:ascii="Arial" w:hAnsi="Arial" w:cs="Arial"/>
          <w:sz w:val="28"/>
          <w:szCs w:val="28"/>
        </w:rPr>
        <w:t>.</w:t>
      </w:r>
    </w:p>
    <w:p w:rsidR="00823FD5" w:rsidRPr="00823FD5" w:rsidRDefault="00823FD5" w:rsidP="00823FD5">
      <w:pPr>
        <w:pStyle w:val="a4"/>
        <w:numPr>
          <w:ilvl w:val="0"/>
          <w:numId w:val="1"/>
        </w:numPr>
        <w:tabs>
          <w:tab w:val="left" w:pos="1134"/>
        </w:tabs>
        <w:spacing w:after="0" w:line="240" w:lineRule="auto"/>
        <w:ind w:left="0" w:firstLine="709"/>
        <w:jc w:val="both"/>
        <w:rPr>
          <w:rFonts w:ascii="Arial" w:hAnsi="Arial" w:cs="Arial"/>
          <w:sz w:val="28"/>
          <w:szCs w:val="28"/>
        </w:rPr>
      </w:pPr>
      <w:r w:rsidRPr="00823FD5">
        <w:rPr>
          <w:rFonts w:ascii="Arial" w:hAnsi="Arial" w:cs="Arial"/>
          <w:sz w:val="28"/>
          <w:szCs w:val="28"/>
        </w:rPr>
        <w:t>Оцінка вартості нерухомості порівняльним методом</w:t>
      </w:r>
      <w:r>
        <w:rPr>
          <w:rFonts w:ascii="Arial" w:hAnsi="Arial" w:cs="Arial"/>
          <w:sz w:val="28"/>
          <w:szCs w:val="28"/>
        </w:rPr>
        <w:t>.</w:t>
      </w:r>
    </w:p>
    <w:p w:rsidR="00823FD5" w:rsidRPr="00823FD5" w:rsidRDefault="00823FD5" w:rsidP="00823FD5">
      <w:pPr>
        <w:pStyle w:val="a4"/>
        <w:numPr>
          <w:ilvl w:val="0"/>
          <w:numId w:val="1"/>
        </w:numPr>
        <w:tabs>
          <w:tab w:val="left" w:pos="1134"/>
        </w:tabs>
        <w:spacing w:after="0" w:line="240" w:lineRule="auto"/>
        <w:ind w:left="0" w:firstLine="709"/>
        <w:jc w:val="both"/>
        <w:rPr>
          <w:rFonts w:ascii="Arial" w:hAnsi="Arial" w:cs="Arial"/>
          <w:sz w:val="28"/>
          <w:szCs w:val="28"/>
        </w:rPr>
      </w:pPr>
      <w:r w:rsidRPr="00823FD5">
        <w:rPr>
          <w:rFonts w:ascii="Arial" w:hAnsi="Arial" w:cs="Arial"/>
          <w:sz w:val="28"/>
          <w:szCs w:val="28"/>
        </w:rPr>
        <w:t>Оцінка землі та нерухомості з використанням фінансових коефіцієнтів</w:t>
      </w:r>
      <w:r>
        <w:rPr>
          <w:rFonts w:ascii="Arial" w:hAnsi="Arial" w:cs="Arial"/>
          <w:sz w:val="28"/>
          <w:szCs w:val="28"/>
        </w:rPr>
        <w:t>.</w:t>
      </w:r>
      <w:bookmarkStart w:id="0" w:name="_GoBack"/>
      <w:bookmarkEnd w:id="0"/>
    </w:p>
    <w:p w:rsidR="007C1B26" w:rsidRPr="00823FD5" w:rsidRDefault="007C1B26" w:rsidP="00823FD5">
      <w:pPr>
        <w:tabs>
          <w:tab w:val="left" w:pos="1134"/>
        </w:tabs>
        <w:spacing w:after="0" w:line="240" w:lineRule="auto"/>
        <w:ind w:firstLine="709"/>
        <w:rPr>
          <w:rFonts w:ascii="Arial" w:hAnsi="Arial" w:cs="Arial"/>
          <w:sz w:val="28"/>
          <w:szCs w:val="28"/>
        </w:rPr>
      </w:pPr>
    </w:p>
    <w:sectPr w:rsidR="007C1B26" w:rsidRPr="00823FD5" w:rsidSect="00823F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EA"/>
    <w:rsid w:val="007C1B26"/>
    <w:rsid w:val="00823FD5"/>
    <w:rsid w:val="00FF4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0FA2"/>
  <w15:chartTrackingRefBased/>
  <w15:docId w15:val="{FDF6202E-CA2A-4DBD-9749-34861C9F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FD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3FD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3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2020-10-15T10:58:00Z</dcterms:created>
  <dcterms:modified xsi:type="dcterms:W3CDTF">2020-10-15T11:04:00Z</dcterms:modified>
</cp:coreProperties>
</file>