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4C" w:rsidRDefault="005C3C4C" w:rsidP="005C3C4C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5C3C4C">
        <w:rPr>
          <w:rFonts w:ascii="Arial" w:hAnsi="Arial" w:cs="Arial"/>
          <w:b/>
          <w:sz w:val="28"/>
          <w:szCs w:val="28"/>
          <w:lang w:val="uk-UA"/>
        </w:rPr>
        <w:t>МІЖНАРОДНА І РЕГІОНАЛЬНА СТАНДАРТИЗАЦІЯ ТА СЕРТИФІКАЦІЯ</w:t>
      </w:r>
    </w:p>
    <w:p w:rsidR="005C3C4C" w:rsidRPr="005C3C4C" w:rsidRDefault="005C3C4C" w:rsidP="005C3C4C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5C3C4C" w:rsidRDefault="005C3C4C" w:rsidP="005C3C4C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5C3C4C">
        <w:rPr>
          <w:rFonts w:ascii="Arial" w:hAnsi="Arial" w:cs="Arial"/>
          <w:b/>
          <w:sz w:val="28"/>
          <w:szCs w:val="28"/>
          <w:lang w:val="uk-UA"/>
        </w:rPr>
        <w:t xml:space="preserve">Кафедра </w:t>
      </w:r>
      <w:r w:rsidRPr="005C3C4C">
        <w:rPr>
          <w:rFonts w:ascii="Arial" w:hAnsi="Arial" w:cs="Arial"/>
          <w:b/>
          <w:sz w:val="28"/>
          <w:szCs w:val="28"/>
          <w:lang w:val="uk-UA"/>
        </w:rPr>
        <w:t>стандартизації та сертифікації с.-г. продукції</w:t>
      </w:r>
    </w:p>
    <w:p w:rsidR="005C3C4C" w:rsidRPr="005C3C4C" w:rsidRDefault="005C3C4C" w:rsidP="005C3C4C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5C3C4C" w:rsidRPr="005C3C4C" w:rsidRDefault="005C3C4C" w:rsidP="005C3C4C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5C3C4C">
        <w:rPr>
          <w:rFonts w:ascii="Arial" w:hAnsi="Arial" w:cs="Arial"/>
          <w:b/>
          <w:sz w:val="28"/>
          <w:szCs w:val="28"/>
          <w:lang w:val="uk-UA"/>
        </w:rPr>
        <w:t>Факультет харчових технологій та управління якістю продукції АПК</w:t>
      </w:r>
    </w:p>
    <w:p w:rsidR="005C3C4C" w:rsidRPr="005C3C4C" w:rsidRDefault="005C3C4C" w:rsidP="005C3C4C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10054" w:type="dxa"/>
        <w:tblLook w:val="04A0" w:firstRow="1" w:lastRow="0" w:firstColumn="1" w:lastColumn="0" w:noHBand="0" w:noVBand="1"/>
      </w:tblPr>
      <w:tblGrid>
        <w:gridCol w:w="4111"/>
        <w:gridCol w:w="5943"/>
      </w:tblGrid>
      <w:tr w:rsidR="005C3C4C" w:rsidRPr="005C3C4C" w:rsidTr="005C3C4C">
        <w:tc>
          <w:tcPr>
            <w:tcW w:w="4111" w:type="dxa"/>
            <w:shd w:val="clear" w:color="auto" w:fill="auto"/>
            <w:vAlign w:val="center"/>
          </w:tcPr>
          <w:p w:rsidR="005C3C4C" w:rsidRPr="005C3C4C" w:rsidRDefault="005C3C4C" w:rsidP="005C3C4C">
            <w:pPr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5C3C4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5C3C4C" w:rsidRPr="005C3C4C" w:rsidRDefault="005C3C4C" w:rsidP="005C3C4C">
            <w:pPr>
              <w:jc w:val="both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д</w:t>
            </w:r>
            <w:r w:rsidRPr="005C3C4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 xml:space="preserve">оц. </w:t>
            </w:r>
            <w:proofErr w:type="spellStart"/>
            <w:r w:rsidRPr="005C3C4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Сілонова</w:t>
            </w:r>
            <w:proofErr w:type="spellEnd"/>
            <w:r w:rsidRPr="005C3C4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 xml:space="preserve"> Н.Б.</w:t>
            </w:r>
          </w:p>
        </w:tc>
      </w:tr>
      <w:tr w:rsidR="005C3C4C" w:rsidRPr="005C3C4C" w:rsidTr="005C3C4C">
        <w:tc>
          <w:tcPr>
            <w:tcW w:w="4111" w:type="dxa"/>
            <w:shd w:val="clear" w:color="auto" w:fill="auto"/>
            <w:vAlign w:val="center"/>
          </w:tcPr>
          <w:p w:rsidR="005C3C4C" w:rsidRPr="005C3C4C" w:rsidRDefault="005C3C4C" w:rsidP="005C3C4C">
            <w:pPr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5C3C4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5C3C4C" w:rsidRPr="005C3C4C" w:rsidRDefault="005C3C4C" w:rsidP="005C3C4C">
            <w:pPr>
              <w:jc w:val="both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5C3C4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2</w:t>
            </w:r>
          </w:p>
        </w:tc>
      </w:tr>
      <w:tr w:rsidR="005C3C4C" w:rsidRPr="005C3C4C" w:rsidTr="005C3C4C">
        <w:tc>
          <w:tcPr>
            <w:tcW w:w="4111" w:type="dxa"/>
            <w:shd w:val="clear" w:color="auto" w:fill="auto"/>
            <w:vAlign w:val="center"/>
          </w:tcPr>
          <w:p w:rsidR="005C3C4C" w:rsidRPr="005C3C4C" w:rsidRDefault="005C3C4C" w:rsidP="005C3C4C">
            <w:pPr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5C3C4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5C3C4C" w:rsidRPr="005C3C4C" w:rsidRDefault="005C3C4C" w:rsidP="005C3C4C">
            <w:pPr>
              <w:jc w:val="both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5C3C4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Магістр</w:t>
            </w:r>
          </w:p>
        </w:tc>
      </w:tr>
      <w:tr w:rsidR="005C3C4C" w:rsidRPr="005C3C4C" w:rsidTr="005C3C4C">
        <w:tc>
          <w:tcPr>
            <w:tcW w:w="4111" w:type="dxa"/>
            <w:shd w:val="clear" w:color="auto" w:fill="auto"/>
            <w:vAlign w:val="center"/>
          </w:tcPr>
          <w:p w:rsidR="005C3C4C" w:rsidRPr="005C3C4C" w:rsidRDefault="005C3C4C" w:rsidP="005C3C4C">
            <w:pPr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5C3C4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5C3C4C" w:rsidRPr="005C3C4C" w:rsidRDefault="005C3C4C" w:rsidP="005C3C4C">
            <w:pPr>
              <w:jc w:val="both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5C3C4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4</w:t>
            </w:r>
          </w:p>
        </w:tc>
      </w:tr>
      <w:tr w:rsidR="005C3C4C" w:rsidRPr="005C3C4C" w:rsidTr="005C3C4C">
        <w:tc>
          <w:tcPr>
            <w:tcW w:w="4111" w:type="dxa"/>
            <w:shd w:val="clear" w:color="auto" w:fill="auto"/>
            <w:vAlign w:val="center"/>
          </w:tcPr>
          <w:p w:rsidR="005C3C4C" w:rsidRPr="005C3C4C" w:rsidRDefault="005C3C4C" w:rsidP="005C3C4C">
            <w:pPr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5C3C4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5C3C4C" w:rsidRPr="005C3C4C" w:rsidRDefault="005C3C4C" w:rsidP="005C3C4C">
            <w:pPr>
              <w:jc w:val="both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5C3C4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Екзамен</w:t>
            </w:r>
          </w:p>
        </w:tc>
      </w:tr>
      <w:tr w:rsidR="005C3C4C" w:rsidRPr="005C3C4C" w:rsidTr="005C3C4C">
        <w:tc>
          <w:tcPr>
            <w:tcW w:w="4111" w:type="dxa"/>
            <w:shd w:val="clear" w:color="auto" w:fill="auto"/>
            <w:vAlign w:val="center"/>
          </w:tcPr>
          <w:p w:rsidR="005C3C4C" w:rsidRPr="005C3C4C" w:rsidRDefault="005C3C4C" w:rsidP="005C3C4C">
            <w:pPr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5C3C4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5C3C4C" w:rsidRPr="005C3C4C" w:rsidRDefault="005C3C4C" w:rsidP="005C3C4C">
            <w:pPr>
              <w:jc w:val="both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5C3C4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30 (30 год лекцій)</w:t>
            </w:r>
          </w:p>
        </w:tc>
      </w:tr>
    </w:tbl>
    <w:p w:rsidR="005C3C4C" w:rsidRPr="005C3C4C" w:rsidRDefault="005C3C4C" w:rsidP="005C3C4C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5C3C4C" w:rsidRPr="005C3C4C" w:rsidRDefault="005C3C4C" w:rsidP="005C3C4C">
      <w:pPr>
        <w:jc w:val="center"/>
        <w:rPr>
          <w:rFonts w:ascii="Arial" w:hAnsi="Arial" w:cs="Arial"/>
          <w:i/>
          <w:sz w:val="28"/>
          <w:szCs w:val="28"/>
          <w:lang w:val="uk-UA"/>
        </w:rPr>
      </w:pPr>
      <w:r w:rsidRPr="005C3C4C">
        <w:rPr>
          <w:rFonts w:ascii="Arial" w:hAnsi="Arial" w:cs="Arial"/>
          <w:b/>
          <w:sz w:val="28"/>
          <w:szCs w:val="28"/>
          <w:lang w:val="uk-UA"/>
        </w:rPr>
        <w:t>Загальний опис дисципліни</w:t>
      </w:r>
    </w:p>
    <w:p w:rsidR="005C3C4C" w:rsidRPr="005C3C4C" w:rsidRDefault="005C3C4C" w:rsidP="005C3C4C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5C3C4C">
        <w:rPr>
          <w:rFonts w:ascii="Arial" w:hAnsi="Arial" w:cs="Arial"/>
          <w:sz w:val="28"/>
          <w:szCs w:val="28"/>
          <w:lang w:val="uk-UA"/>
        </w:rPr>
        <w:t>Дисципліна призначена для набуття студентами теоретичних знань щодо процедур гармонізації законодавчих, нормативно-правових актів та нормативних документів з міжнародними вимогами, нормами та правилами, діяльністю міжнародних та регіональних організацій, які працюють у сферах стандартизації, сертифікації, акредитації, метрології, та розроблених ними стандартів, а також основних аспектів міжнародної і регіональної співпраці в цих сферах.</w:t>
      </w:r>
    </w:p>
    <w:p w:rsidR="005C3C4C" w:rsidRPr="005C3C4C" w:rsidRDefault="005C3C4C" w:rsidP="005C3C4C">
      <w:pPr>
        <w:ind w:firstLine="709"/>
        <w:jc w:val="both"/>
        <w:rPr>
          <w:rFonts w:ascii="Arial" w:hAnsi="Arial" w:cs="Arial"/>
          <w:i/>
          <w:sz w:val="28"/>
          <w:szCs w:val="28"/>
          <w:lang w:val="uk-UA"/>
        </w:rPr>
      </w:pPr>
    </w:p>
    <w:p w:rsidR="005C3C4C" w:rsidRPr="005C3C4C" w:rsidRDefault="005C3C4C" w:rsidP="005C3C4C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5C3C4C">
        <w:rPr>
          <w:rFonts w:ascii="Arial" w:hAnsi="Arial" w:cs="Arial"/>
          <w:b/>
          <w:sz w:val="28"/>
          <w:szCs w:val="28"/>
          <w:lang w:val="uk-UA"/>
        </w:rPr>
        <w:t>Теми лекцій:</w:t>
      </w:r>
    </w:p>
    <w:p w:rsidR="005C3C4C" w:rsidRPr="005C3C4C" w:rsidRDefault="005C3C4C" w:rsidP="005C3C4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C3C4C">
        <w:rPr>
          <w:rFonts w:ascii="Arial" w:hAnsi="Arial" w:cs="Arial"/>
          <w:sz w:val="28"/>
          <w:szCs w:val="28"/>
        </w:rPr>
        <w:t>Міжнародне технічне регулювання</w:t>
      </w:r>
      <w:r>
        <w:rPr>
          <w:rFonts w:ascii="Arial" w:hAnsi="Arial" w:cs="Arial"/>
          <w:sz w:val="28"/>
          <w:szCs w:val="28"/>
        </w:rPr>
        <w:t>.</w:t>
      </w:r>
    </w:p>
    <w:p w:rsidR="005C3C4C" w:rsidRPr="005C3C4C" w:rsidRDefault="005C3C4C" w:rsidP="005C3C4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C3C4C">
        <w:rPr>
          <w:rFonts w:ascii="Arial" w:hAnsi="Arial" w:cs="Arial"/>
          <w:sz w:val="28"/>
          <w:szCs w:val="28"/>
        </w:rPr>
        <w:t>СОТ специфіка роботи та аналіз угод</w:t>
      </w:r>
      <w:r>
        <w:rPr>
          <w:rFonts w:ascii="Arial" w:hAnsi="Arial" w:cs="Arial"/>
          <w:sz w:val="28"/>
          <w:szCs w:val="28"/>
        </w:rPr>
        <w:t>.</w:t>
      </w:r>
    </w:p>
    <w:p w:rsidR="005C3C4C" w:rsidRPr="005C3C4C" w:rsidRDefault="005C3C4C" w:rsidP="005C3C4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C3C4C">
        <w:rPr>
          <w:rFonts w:ascii="Arial" w:hAnsi="Arial" w:cs="Arial"/>
          <w:sz w:val="28"/>
          <w:szCs w:val="28"/>
        </w:rPr>
        <w:t>Діяльність міжнародних організацій зі стандартизації</w:t>
      </w:r>
      <w:r>
        <w:rPr>
          <w:rFonts w:ascii="Arial" w:hAnsi="Arial" w:cs="Arial"/>
          <w:sz w:val="28"/>
          <w:szCs w:val="28"/>
        </w:rPr>
        <w:t>.</w:t>
      </w:r>
    </w:p>
    <w:p w:rsidR="005C3C4C" w:rsidRPr="005C3C4C" w:rsidRDefault="005C3C4C" w:rsidP="005C3C4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C3C4C">
        <w:rPr>
          <w:rFonts w:ascii="Arial" w:hAnsi="Arial" w:cs="Arial"/>
          <w:sz w:val="28"/>
          <w:szCs w:val="28"/>
        </w:rPr>
        <w:t>Діяльність галузевих організацій у сфері стандартизації</w:t>
      </w:r>
      <w:r>
        <w:rPr>
          <w:rFonts w:ascii="Arial" w:hAnsi="Arial" w:cs="Arial"/>
          <w:sz w:val="28"/>
          <w:szCs w:val="28"/>
        </w:rPr>
        <w:t>.</w:t>
      </w:r>
    </w:p>
    <w:p w:rsidR="005C3C4C" w:rsidRPr="005C3C4C" w:rsidRDefault="005C3C4C" w:rsidP="005C3C4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C3C4C">
        <w:rPr>
          <w:rFonts w:ascii="Arial" w:hAnsi="Arial" w:cs="Arial"/>
          <w:sz w:val="28"/>
          <w:szCs w:val="28"/>
        </w:rPr>
        <w:t>Міжнародні вимоги до систем управління</w:t>
      </w:r>
      <w:r>
        <w:rPr>
          <w:rFonts w:ascii="Arial" w:hAnsi="Arial" w:cs="Arial"/>
          <w:sz w:val="28"/>
          <w:szCs w:val="28"/>
        </w:rPr>
        <w:t>.</w:t>
      </w:r>
    </w:p>
    <w:p w:rsidR="005C3C4C" w:rsidRPr="005C3C4C" w:rsidRDefault="005C3C4C" w:rsidP="005C3C4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C3C4C">
        <w:rPr>
          <w:rFonts w:ascii="Arial" w:hAnsi="Arial" w:cs="Arial"/>
          <w:sz w:val="28"/>
          <w:szCs w:val="28"/>
        </w:rPr>
        <w:t>Оцінювання відповідності у міжнародній практиці</w:t>
      </w:r>
      <w:r>
        <w:rPr>
          <w:rFonts w:ascii="Arial" w:hAnsi="Arial" w:cs="Arial"/>
          <w:sz w:val="28"/>
          <w:szCs w:val="28"/>
        </w:rPr>
        <w:t>.</w:t>
      </w:r>
      <w:r w:rsidRPr="005C3C4C">
        <w:rPr>
          <w:rFonts w:ascii="Arial" w:hAnsi="Arial" w:cs="Arial"/>
          <w:sz w:val="28"/>
          <w:szCs w:val="28"/>
        </w:rPr>
        <w:t xml:space="preserve"> </w:t>
      </w:r>
    </w:p>
    <w:p w:rsidR="005C3C4C" w:rsidRPr="005C3C4C" w:rsidRDefault="005C3C4C" w:rsidP="005C3C4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C3C4C">
        <w:rPr>
          <w:rFonts w:ascii="Arial" w:hAnsi="Arial" w:cs="Arial"/>
          <w:sz w:val="28"/>
          <w:szCs w:val="28"/>
        </w:rPr>
        <w:t>Модулі оцінювання відповідності</w:t>
      </w:r>
      <w:r>
        <w:rPr>
          <w:rFonts w:ascii="Arial" w:hAnsi="Arial" w:cs="Arial"/>
          <w:sz w:val="28"/>
          <w:szCs w:val="28"/>
        </w:rPr>
        <w:t>.</w:t>
      </w:r>
    </w:p>
    <w:p w:rsidR="005C3C4C" w:rsidRPr="005C3C4C" w:rsidRDefault="005C3C4C" w:rsidP="005C3C4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C3C4C">
        <w:rPr>
          <w:rFonts w:ascii="Arial" w:hAnsi="Arial" w:cs="Arial"/>
          <w:sz w:val="28"/>
          <w:szCs w:val="28"/>
        </w:rPr>
        <w:t>Аналіз вимог міжнародних стандартів до органів з оцінювання відповідності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5C3C4C" w:rsidRPr="005C3C4C" w:rsidRDefault="005C3C4C" w:rsidP="005C3C4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B35CFD" w:rsidRPr="005C3C4C" w:rsidRDefault="00B35CFD" w:rsidP="005C3C4C">
      <w:pPr>
        <w:rPr>
          <w:rFonts w:ascii="Arial" w:hAnsi="Arial" w:cs="Arial"/>
          <w:sz w:val="28"/>
          <w:szCs w:val="28"/>
          <w:lang w:val="uk-UA"/>
        </w:rPr>
      </w:pPr>
    </w:p>
    <w:p w:rsidR="005C3C4C" w:rsidRPr="005C3C4C" w:rsidRDefault="005C3C4C">
      <w:pPr>
        <w:rPr>
          <w:rFonts w:ascii="Arial" w:hAnsi="Arial" w:cs="Arial"/>
          <w:sz w:val="28"/>
          <w:szCs w:val="28"/>
          <w:lang w:val="uk-UA"/>
        </w:rPr>
      </w:pPr>
    </w:p>
    <w:sectPr w:rsidR="005C3C4C" w:rsidRPr="005C3C4C" w:rsidSect="005C3C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48"/>
    <w:rsid w:val="005C3C4C"/>
    <w:rsid w:val="00B35CFD"/>
    <w:rsid w:val="00D7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5AD4"/>
  <w15:chartTrackingRefBased/>
  <w15:docId w15:val="{99386BD4-F1EB-4349-8AB0-EB06127D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C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2020-10-15T14:04:00Z</dcterms:created>
  <dcterms:modified xsi:type="dcterms:W3CDTF">2020-10-15T14:07:00Z</dcterms:modified>
</cp:coreProperties>
</file>