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BE4" w:rsidRPr="00AF3BE4" w:rsidRDefault="00AF3BE4" w:rsidP="00AF3BE4">
      <w:pPr>
        <w:jc w:val="center"/>
        <w:rPr>
          <w:rFonts w:ascii="Arial" w:hAnsi="Arial" w:cs="Arial"/>
          <w:b/>
          <w:sz w:val="28"/>
          <w:szCs w:val="28"/>
          <w:lang w:val="uk-UA"/>
        </w:rPr>
      </w:pPr>
      <w:r w:rsidRPr="00AF3BE4">
        <w:rPr>
          <w:rFonts w:ascii="Arial" w:hAnsi="Arial" w:cs="Arial"/>
          <w:b/>
          <w:sz w:val="28"/>
          <w:szCs w:val="28"/>
          <w:lang w:val="uk-UA"/>
        </w:rPr>
        <w:t>ПРАВОВИЙ ЗАХИСТ ОСОБИСТОГО БРЕНДУ</w:t>
      </w:r>
      <w:bookmarkStart w:id="0" w:name="_GoBack"/>
      <w:bookmarkEnd w:id="0"/>
    </w:p>
    <w:p w:rsidR="00AF3BE4" w:rsidRPr="00AF3BE4" w:rsidRDefault="00AF3BE4" w:rsidP="00AF3BE4">
      <w:pPr>
        <w:jc w:val="center"/>
        <w:rPr>
          <w:rFonts w:ascii="Arial" w:hAnsi="Arial" w:cs="Arial"/>
          <w:b/>
          <w:sz w:val="28"/>
          <w:szCs w:val="28"/>
          <w:lang w:val="uk-UA"/>
        </w:rPr>
      </w:pPr>
    </w:p>
    <w:p w:rsidR="00AF3BE4" w:rsidRPr="00AF3BE4" w:rsidRDefault="00AF3BE4" w:rsidP="00AF3BE4">
      <w:pPr>
        <w:jc w:val="center"/>
        <w:rPr>
          <w:rFonts w:ascii="Arial" w:hAnsi="Arial" w:cs="Arial"/>
          <w:b/>
          <w:sz w:val="28"/>
          <w:szCs w:val="28"/>
          <w:lang w:val="uk-UA"/>
        </w:rPr>
      </w:pPr>
      <w:r w:rsidRPr="00AF3BE4">
        <w:rPr>
          <w:rFonts w:ascii="Arial" w:hAnsi="Arial" w:cs="Arial"/>
          <w:b/>
          <w:sz w:val="28"/>
          <w:szCs w:val="28"/>
          <w:lang w:val="uk-UA"/>
        </w:rPr>
        <w:t>Кафедра цивільного та господарського права</w:t>
      </w:r>
    </w:p>
    <w:p w:rsidR="00AF3BE4" w:rsidRDefault="00AF3BE4" w:rsidP="00AF3BE4">
      <w:pPr>
        <w:jc w:val="center"/>
        <w:rPr>
          <w:rFonts w:ascii="Arial" w:hAnsi="Arial" w:cs="Arial"/>
          <w:b/>
          <w:sz w:val="28"/>
          <w:szCs w:val="28"/>
          <w:lang w:val="uk-UA"/>
        </w:rPr>
      </w:pPr>
    </w:p>
    <w:p w:rsidR="00AF3BE4" w:rsidRPr="00AF3BE4" w:rsidRDefault="00AF3BE4" w:rsidP="00AF3BE4">
      <w:pPr>
        <w:jc w:val="center"/>
        <w:rPr>
          <w:rFonts w:ascii="Arial" w:hAnsi="Arial" w:cs="Arial"/>
          <w:b/>
          <w:sz w:val="28"/>
          <w:szCs w:val="28"/>
          <w:lang w:val="uk-UA"/>
        </w:rPr>
      </w:pPr>
      <w:r w:rsidRPr="00AF3BE4">
        <w:rPr>
          <w:rFonts w:ascii="Arial" w:hAnsi="Arial" w:cs="Arial"/>
          <w:b/>
          <w:sz w:val="28"/>
          <w:szCs w:val="28"/>
          <w:lang w:val="uk-UA"/>
        </w:rPr>
        <w:t>Юридичний факультет</w:t>
      </w:r>
    </w:p>
    <w:p w:rsidR="00AF3BE4" w:rsidRPr="00AF3BE4" w:rsidRDefault="00AF3BE4" w:rsidP="00AF3BE4">
      <w:pPr>
        <w:ind w:firstLine="709"/>
        <w:jc w:val="both"/>
        <w:rPr>
          <w:rFonts w:ascii="Arial" w:hAnsi="Arial" w:cs="Arial"/>
          <w:b/>
          <w:sz w:val="28"/>
          <w:szCs w:val="28"/>
          <w:lang w:val="uk-UA"/>
        </w:rPr>
      </w:pPr>
    </w:p>
    <w:tbl>
      <w:tblPr>
        <w:tblW w:w="9912" w:type="dxa"/>
        <w:tblLook w:val="04A0" w:firstRow="1" w:lastRow="0" w:firstColumn="1" w:lastColumn="0" w:noHBand="0" w:noVBand="1"/>
      </w:tblPr>
      <w:tblGrid>
        <w:gridCol w:w="3969"/>
        <w:gridCol w:w="5943"/>
      </w:tblGrid>
      <w:tr w:rsidR="00AF3BE4" w:rsidRPr="001737BA"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Лектор</w:t>
            </w:r>
          </w:p>
        </w:tc>
        <w:tc>
          <w:tcPr>
            <w:tcW w:w="5943" w:type="dxa"/>
            <w:shd w:val="clear" w:color="auto" w:fill="auto"/>
          </w:tcPr>
          <w:p w:rsidR="00AF3BE4" w:rsidRPr="00AF3BE4" w:rsidRDefault="00AF3BE4" w:rsidP="00AF3BE4">
            <w:pPr>
              <w:rPr>
                <w:rFonts w:ascii="Arial" w:eastAsia="Calibri" w:hAnsi="Arial" w:cs="Arial"/>
                <w:b/>
                <w:sz w:val="28"/>
                <w:szCs w:val="28"/>
                <w:lang w:val="uk-UA"/>
              </w:rPr>
            </w:pPr>
            <w:proofErr w:type="spellStart"/>
            <w:r w:rsidRPr="00AF3BE4">
              <w:rPr>
                <w:rFonts w:ascii="Arial" w:eastAsia="Calibri" w:hAnsi="Arial" w:cs="Arial"/>
                <w:b/>
                <w:sz w:val="28"/>
                <w:szCs w:val="28"/>
                <w:lang w:val="uk-UA"/>
              </w:rPr>
              <w:t>д.ю.н</w:t>
            </w:r>
            <w:proofErr w:type="spellEnd"/>
            <w:r w:rsidRPr="00AF3BE4">
              <w:rPr>
                <w:rFonts w:ascii="Arial" w:eastAsia="Calibri" w:hAnsi="Arial" w:cs="Arial"/>
                <w:b/>
                <w:sz w:val="28"/>
                <w:szCs w:val="28"/>
                <w:lang w:val="uk-UA"/>
              </w:rPr>
              <w:t>., проф. Піддубний Олексій Юрійович</w:t>
            </w:r>
          </w:p>
        </w:tc>
      </w:tr>
      <w:tr w:rsidR="00AF3BE4" w:rsidRPr="00AF3BE4"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Семестр</w:t>
            </w:r>
          </w:p>
        </w:tc>
        <w:tc>
          <w:tcPr>
            <w:tcW w:w="5943" w:type="dxa"/>
            <w:shd w:val="clear" w:color="auto" w:fill="auto"/>
          </w:tcPr>
          <w:p w:rsidR="00AF3BE4" w:rsidRPr="00AF3BE4" w:rsidRDefault="00AF3BE4" w:rsidP="00AF3BE4">
            <w:pPr>
              <w:rPr>
                <w:rFonts w:ascii="Arial" w:eastAsia="Calibri" w:hAnsi="Arial" w:cs="Arial"/>
                <w:b/>
                <w:sz w:val="28"/>
                <w:szCs w:val="28"/>
                <w:lang w:val="uk-UA"/>
              </w:rPr>
            </w:pPr>
            <w:r w:rsidRPr="00AF3BE4">
              <w:rPr>
                <w:rFonts w:ascii="Arial" w:eastAsia="Calibri" w:hAnsi="Arial" w:cs="Arial"/>
                <w:b/>
                <w:sz w:val="28"/>
                <w:szCs w:val="28"/>
                <w:lang w:val="uk-UA"/>
              </w:rPr>
              <w:t>2</w:t>
            </w:r>
          </w:p>
        </w:tc>
      </w:tr>
      <w:tr w:rsidR="00AF3BE4" w:rsidRPr="00AF3BE4"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Освітній ступінь</w:t>
            </w:r>
          </w:p>
        </w:tc>
        <w:tc>
          <w:tcPr>
            <w:tcW w:w="5943" w:type="dxa"/>
            <w:shd w:val="clear" w:color="auto" w:fill="auto"/>
          </w:tcPr>
          <w:p w:rsidR="00AF3BE4" w:rsidRPr="00AF3BE4" w:rsidRDefault="00AF3BE4" w:rsidP="00AF3BE4">
            <w:pPr>
              <w:rPr>
                <w:rFonts w:ascii="Arial" w:eastAsia="Calibri" w:hAnsi="Arial" w:cs="Arial"/>
                <w:b/>
                <w:sz w:val="28"/>
                <w:szCs w:val="28"/>
                <w:lang w:val="uk-UA"/>
              </w:rPr>
            </w:pPr>
            <w:r w:rsidRPr="00AF3BE4">
              <w:rPr>
                <w:rFonts w:ascii="Arial" w:eastAsia="Calibri" w:hAnsi="Arial" w:cs="Arial"/>
                <w:b/>
                <w:sz w:val="28"/>
                <w:szCs w:val="28"/>
                <w:lang w:val="uk-UA"/>
              </w:rPr>
              <w:t>Магістр</w:t>
            </w:r>
          </w:p>
        </w:tc>
      </w:tr>
      <w:tr w:rsidR="00AF3BE4" w:rsidRPr="00AF3BE4"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Кількість кредитів ЄКТС</w:t>
            </w:r>
          </w:p>
        </w:tc>
        <w:tc>
          <w:tcPr>
            <w:tcW w:w="5943" w:type="dxa"/>
            <w:shd w:val="clear" w:color="auto" w:fill="auto"/>
          </w:tcPr>
          <w:p w:rsidR="00AF3BE4" w:rsidRPr="00AF3BE4" w:rsidRDefault="00AF3BE4" w:rsidP="00AF3BE4">
            <w:pPr>
              <w:rPr>
                <w:rFonts w:ascii="Arial" w:eastAsia="Calibri" w:hAnsi="Arial" w:cs="Arial"/>
                <w:b/>
                <w:sz w:val="28"/>
                <w:szCs w:val="28"/>
                <w:lang w:val="uk-UA"/>
              </w:rPr>
            </w:pPr>
            <w:r w:rsidRPr="00AF3BE4">
              <w:rPr>
                <w:rFonts w:ascii="Arial" w:eastAsia="Calibri" w:hAnsi="Arial" w:cs="Arial"/>
                <w:b/>
                <w:sz w:val="28"/>
                <w:szCs w:val="28"/>
                <w:lang w:val="uk-UA"/>
              </w:rPr>
              <w:t>4</w:t>
            </w:r>
          </w:p>
        </w:tc>
      </w:tr>
      <w:tr w:rsidR="00AF3BE4" w:rsidRPr="00AF3BE4"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Форма контролю</w:t>
            </w:r>
          </w:p>
        </w:tc>
        <w:tc>
          <w:tcPr>
            <w:tcW w:w="5943" w:type="dxa"/>
            <w:shd w:val="clear" w:color="auto" w:fill="auto"/>
          </w:tcPr>
          <w:p w:rsidR="00AF3BE4" w:rsidRPr="00AF3BE4" w:rsidRDefault="00AF3BE4" w:rsidP="00AF3BE4">
            <w:pPr>
              <w:rPr>
                <w:rFonts w:ascii="Arial" w:eastAsia="Calibri" w:hAnsi="Arial" w:cs="Arial"/>
                <w:b/>
                <w:sz w:val="28"/>
                <w:szCs w:val="28"/>
                <w:lang w:val="uk-UA"/>
              </w:rPr>
            </w:pPr>
            <w:r w:rsidRPr="00AF3BE4">
              <w:rPr>
                <w:rFonts w:ascii="Arial" w:eastAsia="Calibri" w:hAnsi="Arial" w:cs="Arial"/>
                <w:b/>
                <w:sz w:val="28"/>
                <w:szCs w:val="28"/>
                <w:lang w:val="uk-UA"/>
              </w:rPr>
              <w:t>Екзамен</w:t>
            </w:r>
          </w:p>
        </w:tc>
      </w:tr>
      <w:tr w:rsidR="00AF3BE4" w:rsidRPr="00AF3BE4" w:rsidTr="00AF3BE4">
        <w:tc>
          <w:tcPr>
            <w:tcW w:w="3969" w:type="dxa"/>
            <w:shd w:val="clear" w:color="auto" w:fill="auto"/>
          </w:tcPr>
          <w:p w:rsidR="00AF3BE4" w:rsidRPr="00AF3BE4" w:rsidRDefault="00AF3BE4" w:rsidP="00AF3BE4">
            <w:pPr>
              <w:rPr>
                <w:rFonts w:ascii="Arial" w:eastAsia="Calibri" w:hAnsi="Arial" w:cs="Arial"/>
                <w:b/>
                <w:i/>
                <w:sz w:val="28"/>
                <w:szCs w:val="28"/>
                <w:lang w:val="uk-UA"/>
              </w:rPr>
            </w:pPr>
            <w:r w:rsidRPr="00AF3BE4">
              <w:rPr>
                <w:rFonts w:ascii="Arial" w:eastAsia="Calibri" w:hAnsi="Arial" w:cs="Arial"/>
                <w:b/>
                <w:i/>
                <w:sz w:val="28"/>
                <w:szCs w:val="28"/>
                <w:lang w:val="uk-UA"/>
              </w:rPr>
              <w:t>Аудиторні години</w:t>
            </w:r>
          </w:p>
        </w:tc>
        <w:tc>
          <w:tcPr>
            <w:tcW w:w="5943" w:type="dxa"/>
            <w:shd w:val="clear" w:color="auto" w:fill="auto"/>
          </w:tcPr>
          <w:p w:rsidR="00AF3BE4" w:rsidRPr="00AF3BE4" w:rsidRDefault="00AF3BE4" w:rsidP="00AF3BE4">
            <w:pPr>
              <w:rPr>
                <w:rFonts w:ascii="Arial" w:eastAsia="Calibri" w:hAnsi="Arial" w:cs="Arial"/>
                <w:b/>
                <w:sz w:val="28"/>
                <w:szCs w:val="28"/>
                <w:lang w:val="uk-UA"/>
              </w:rPr>
            </w:pPr>
            <w:r w:rsidRPr="00AF3BE4">
              <w:rPr>
                <w:rFonts w:ascii="Arial" w:eastAsia="Calibri" w:hAnsi="Arial" w:cs="Arial"/>
                <w:b/>
                <w:sz w:val="28"/>
                <w:szCs w:val="28"/>
                <w:lang w:val="uk-UA"/>
              </w:rPr>
              <w:t>30 (15 год. лекцій, 15 год. практичних чи лабораторних)</w:t>
            </w:r>
          </w:p>
        </w:tc>
      </w:tr>
    </w:tbl>
    <w:p w:rsidR="00AF3BE4" w:rsidRPr="00AF3BE4" w:rsidRDefault="00AF3BE4" w:rsidP="00AF3BE4">
      <w:pPr>
        <w:ind w:firstLine="709"/>
        <w:jc w:val="both"/>
        <w:rPr>
          <w:rFonts w:ascii="Arial" w:hAnsi="Arial" w:cs="Arial"/>
          <w:b/>
          <w:sz w:val="28"/>
          <w:szCs w:val="28"/>
          <w:lang w:val="uk-UA"/>
        </w:rPr>
      </w:pPr>
    </w:p>
    <w:p w:rsidR="00AF3BE4" w:rsidRPr="00AF3BE4" w:rsidRDefault="00AF3BE4" w:rsidP="00AF3BE4">
      <w:pPr>
        <w:jc w:val="center"/>
        <w:rPr>
          <w:rFonts w:ascii="Arial" w:hAnsi="Arial" w:cs="Arial"/>
          <w:i/>
          <w:sz w:val="28"/>
          <w:szCs w:val="28"/>
          <w:lang w:val="uk-UA"/>
        </w:rPr>
      </w:pPr>
      <w:r w:rsidRPr="00AF3BE4">
        <w:rPr>
          <w:rFonts w:ascii="Arial" w:hAnsi="Arial" w:cs="Arial"/>
          <w:b/>
          <w:sz w:val="28"/>
          <w:szCs w:val="28"/>
          <w:lang w:val="uk-UA"/>
        </w:rPr>
        <w:t>Загальний опис дисципліни</w:t>
      </w:r>
    </w:p>
    <w:p w:rsidR="00AF3BE4" w:rsidRPr="00AF3BE4" w:rsidRDefault="00AF3BE4" w:rsidP="00AF3BE4">
      <w:pPr>
        <w:ind w:firstLine="709"/>
        <w:jc w:val="both"/>
        <w:rPr>
          <w:rFonts w:ascii="Arial" w:hAnsi="Arial" w:cs="Arial"/>
          <w:iCs/>
          <w:sz w:val="28"/>
          <w:szCs w:val="28"/>
          <w:lang w:val="uk-UA"/>
        </w:rPr>
      </w:pPr>
      <w:r w:rsidRPr="00AF3BE4">
        <w:rPr>
          <w:rFonts w:ascii="Arial" w:hAnsi="Arial" w:cs="Arial"/>
          <w:iCs/>
          <w:sz w:val="28"/>
          <w:szCs w:val="28"/>
          <w:lang w:val="uk-UA"/>
        </w:rPr>
        <w:t xml:space="preserve">В даний час кожна видатна особистість представляє сама по собі певний вид бренду. Її ім’я, думки навіть зовнішній вигляд та стиль стають предметом обговорення, запозичення, наслідування, а інколи викликають антипатію, несприйняття, бойкот і навіть масові заходи, які демонструють протест. Навчальний курс, що пропонується вашій увазі спрямований на оптимальне юридичне супроводження особистого бренду, яке дозволить ефективно використовувати прояви масової симпатії та навіть антипатії на користь розвитку власної особистості, уникаючи при цьому поширених помилок і несприятливих правових наслідків. Так само особистий бренд необхідний для правильного позиціонування себе перед роботодавцем, для осіб які планують політичну та бізнесову кар’єру. </w:t>
      </w:r>
    </w:p>
    <w:p w:rsidR="00AF3BE4" w:rsidRPr="00AF3BE4" w:rsidRDefault="00AF3BE4" w:rsidP="00AF3BE4">
      <w:pPr>
        <w:ind w:firstLine="709"/>
        <w:jc w:val="both"/>
        <w:rPr>
          <w:rFonts w:ascii="Arial" w:hAnsi="Arial" w:cs="Arial"/>
          <w:i/>
          <w:sz w:val="28"/>
          <w:szCs w:val="28"/>
          <w:lang w:val="uk-UA"/>
        </w:rPr>
      </w:pPr>
    </w:p>
    <w:p w:rsidR="00AF3BE4" w:rsidRPr="00AF3BE4" w:rsidRDefault="00AF3BE4" w:rsidP="00AF3BE4">
      <w:pPr>
        <w:jc w:val="center"/>
        <w:rPr>
          <w:rFonts w:ascii="Arial" w:hAnsi="Arial" w:cs="Arial"/>
          <w:b/>
          <w:sz w:val="28"/>
          <w:szCs w:val="28"/>
          <w:lang w:val="uk-UA"/>
        </w:rPr>
      </w:pPr>
      <w:r w:rsidRPr="00AF3BE4">
        <w:rPr>
          <w:rFonts w:ascii="Arial" w:hAnsi="Arial" w:cs="Arial"/>
          <w:b/>
          <w:sz w:val="28"/>
          <w:szCs w:val="28"/>
          <w:lang w:val="uk-UA"/>
        </w:rPr>
        <w:t>Теми лекцій:</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Захист ділової репутації від інформації, що може вплинути на позитивне сприйняття особи.</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Правові засади успішного просування бренду в соціальних мережах.</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Свобода слова і політкоректність – правові засоби відвернення відповідальності за помилкові висловлювання.</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 інтелектуальної власності і плагіат – що і як можна запозичувати законно.</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Джерела інформації про особу та їх правильне адміністрування – державні реєстри, кадастри і види обліку громадян.</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Правова охорона таємниці приватного життя.</w:t>
      </w:r>
    </w:p>
    <w:p w:rsidR="00AF3BE4" w:rsidRPr="00AF3BE4" w:rsidRDefault="00AF3BE4" w:rsidP="00AF3BE4">
      <w:pPr>
        <w:pStyle w:val="a3"/>
        <w:numPr>
          <w:ilvl w:val="0"/>
          <w:numId w:val="1"/>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 xml:space="preserve">Монетизація особистого бренду </w:t>
      </w:r>
      <w:r>
        <w:rPr>
          <w:rFonts w:ascii="Arial" w:hAnsi="Arial" w:cs="Arial"/>
          <w:sz w:val="28"/>
          <w:szCs w:val="28"/>
        </w:rPr>
        <w:t>–</w:t>
      </w:r>
      <w:r w:rsidRPr="00AF3BE4">
        <w:rPr>
          <w:rFonts w:ascii="Arial" w:hAnsi="Arial" w:cs="Arial"/>
          <w:sz w:val="28"/>
          <w:szCs w:val="28"/>
        </w:rPr>
        <w:t xml:space="preserve"> правила ефективних контрактів.</w:t>
      </w:r>
    </w:p>
    <w:p w:rsidR="00AF3BE4" w:rsidRDefault="00AF3BE4" w:rsidP="00AF3BE4">
      <w:pPr>
        <w:pStyle w:val="a3"/>
        <w:spacing w:after="0" w:line="240" w:lineRule="auto"/>
        <w:ind w:left="0" w:firstLine="709"/>
        <w:jc w:val="both"/>
        <w:rPr>
          <w:rFonts w:ascii="Arial" w:hAnsi="Arial" w:cs="Arial"/>
          <w:sz w:val="28"/>
          <w:szCs w:val="28"/>
        </w:rPr>
      </w:pPr>
    </w:p>
    <w:p w:rsidR="00AF3BE4" w:rsidRDefault="00AF3BE4" w:rsidP="00AF3BE4">
      <w:pPr>
        <w:pStyle w:val="a3"/>
        <w:spacing w:after="0" w:line="240" w:lineRule="auto"/>
        <w:ind w:left="0" w:firstLine="709"/>
        <w:jc w:val="both"/>
        <w:rPr>
          <w:rFonts w:ascii="Arial" w:hAnsi="Arial" w:cs="Arial"/>
          <w:sz w:val="28"/>
          <w:szCs w:val="28"/>
        </w:rPr>
      </w:pPr>
    </w:p>
    <w:p w:rsidR="00AF3BE4" w:rsidRPr="00AF3BE4" w:rsidRDefault="00AF3BE4" w:rsidP="00AF3BE4">
      <w:pPr>
        <w:pStyle w:val="a3"/>
        <w:spacing w:after="0" w:line="240" w:lineRule="auto"/>
        <w:ind w:left="0" w:firstLine="709"/>
        <w:jc w:val="both"/>
        <w:rPr>
          <w:rFonts w:ascii="Arial" w:hAnsi="Arial" w:cs="Arial"/>
          <w:sz w:val="28"/>
          <w:szCs w:val="28"/>
        </w:rPr>
      </w:pPr>
    </w:p>
    <w:p w:rsidR="00AF3BE4" w:rsidRPr="00AF3BE4" w:rsidRDefault="00AF3BE4" w:rsidP="00AF3BE4">
      <w:pPr>
        <w:jc w:val="center"/>
        <w:rPr>
          <w:rFonts w:ascii="Arial" w:hAnsi="Arial" w:cs="Arial"/>
          <w:b/>
          <w:sz w:val="28"/>
          <w:szCs w:val="28"/>
          <w:lang w:val="uk-UA"/>
        </w:rPr>
      </w:pPr>
      <w:r w:rsidRPr="00AF3BE4">
        <w:rPr>
          <w:rFonts w:ascii="Arial" w:hAnsi="Arial" w:cs="Arial"/>
          <w:b/>
          <w:sz w:val="28"/>
          <w:szCs w:val="28"/>
          <w:lang w:val="uk-UA"/>
        </w:rPr>
        <w:lastRenderedPageBreak/>
        <w:t>Теми занять:</w:t>
      </w:r>
    </w:p>
    <w:p w:rsidR="00AF3BE4" w:rsidRPr="00AF3BE4" w:rsidRDefault="00AF3BE4" w:rsidP="00AF3BE4">
      <w:pPr>
        <w:jc w:val="center"/>
        <w:rPr>
          <w:rFonts w:ascii="Arial" w:hAnsi="Arial" w:cs="Arial"/>
          <w:b/>
          <w:i/>
          <w:sz w:val="28"/>
          <w:szCs w:val="28"/>
          <w:lang w:val="uk-UA"/>
        </w:rPr>
      </w:pPr>
      <w:r w:rsidRPr="00AF3BE4">
        <w:rPr>
          <w:rFonts w:ascii="Arial" w:hAnsi="Arial" w:cs="Arial"/>
          <w:b/>
          <w:i/>
          <w:sz w:val="28"/>
          <w:szCs w:val="28"/>
          <w:lang w:val="uk-UA"/>
        </w:rPr>
        <w:t>(семінарських, практичних, лабораторних)</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Захист ділової репутації від інформації, що може вплинути на позитивне сприйняття особи.</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Правові засади успішного просування бренду в соціальних мережах.</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Свобода слова і політкоректність – правові засоби відвернення відповідальності за помилкові висловлювання.</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 інтелектуальної власності і плагіат – що і як можна запозичувати законно.</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Джерела інформації про особу та їх правильне адміністрування – державні реєстри, кадастри і види обліку громадян.</w:t>
      </w:r>
    </w:p>
    <w:p w:rsidR="00AF3BE4" w:rsidRPr="00AF3BE4" w:rsidRDefault="00AF3BE4" w:rsidP="00AF3BE4">
      <w:pPr>
        <w:pStyle w:val="a3"/>
        <w:numPr>
          <w:ilvl w:val="0"/>
          <w:numId w:val="2"/>
        </w:numPr>
        <w:tabs>
          <w:tab w:val="left" w:pos="1134"/>
        </w:tabs>
        <w:spacing w:after="0" w:line="240" w:lineRule="auto"/>
        <w:ind w:left="0" w:firstLine="709"/>
        <w:jc w:val="both"/>
        <w:rPr>
          <w:rFonts w:ascii="Arial" w:hAnsi="Arial" w:cs="Arial"/>
          <w:sz w:val="28"/>
          <w:szCs w:val="28"/>
        </w:rPr>
      </w:pPr>
      <w:r w:rsidRPr="00AF3BE4">
        <w:rPr>
          <w:rFonts w:ascii="Arial" w:hAnsi="Arial" w:cs="Arial"/>
          <w:sz w:val="28"/>
          <w:szCs w:val="28"/>
        </w:rPr>
        <w:t>Правова охорона таємниці приватного життя.</w:t>
      </w:r>
    </w:p>
    <w:p w:rsidR="00AF3BE4" w:rsidRPr="00AF3BE4" w:rsidRDefault="00AF3BE4" w:rsidP="00AF3BE4">
      <w:pPr>
        <w:pStyle w:val="a3"/>
        <w:spacing w:after="0" w:line="240" w:lineRule="auto"/>
        <w:ind w:left="709"/>
        <w:jc w:val="both"/>
        <w:rPr>
          <w:rFonts w:ascii="Arial" w:hAnsi="Arial" w:cs="Arial"/>
          <w:sz w:val="28"/>
          <w:szCs w:val="28"/>
        </w:rPr>
      </w:pPr>
      <w:r>
        <w:rPr>
          <w:rFonts w:ascii="Arial" w:hAnsi="Arial" w:cs="Arial"/>
          <w:sz w:val="28"/>
          <w:szCs w:val="28"/>
        </w:rPr>
        <w:t xml:space="preserve">7.  </w:t>
      </w:r>
      <w:r w:rsidRPr="00AF3BE4">
        <w:rPr>
          <w:rFonts w:ascii="Arial" w:hAnsi="Arial" w:cs="Arial"/>
          <w:sz w:val="28"/>
          <w:szCs w:val="28"/>
        </w:rPr>
        <w:t xml:space="preserve">Монетизація особистого бренду </w:t>
      </w:r>
      <w:r>
        <w:rPr>
          <w:rFonts w:ascii="Arial" w:hAnsi="Arial" w:cs="Arial"/>
          <w:sz w:val="28"/>
          <w:szCs w:val="28"/>
        </w:rPr>
        <w:t xml:space="preserve">– </w:t>
      </w:r>
      <w:r w:rsidRPr="00AF3BE4">
        <w:rPr>
          <w:rFonts w:ascii="Arial" w:hAnsi="Arial" w:cs="Arial"/>
          <w:sz w:val="28"/>
          <w:szCs w:val="28"/>
        </w:rPr>
        <w:t>правила ефективних контрактів.</w:t>
      </w:r>
    </w:p>
    <w:p w:rsidR="00AF3BE4" w:rsidRPr="00AF3BE4" w:rsidRDefault="00AF3BE4" w:rsidP="00AF3BE4">
      <w:pPr>
        <w:pStyle w:val="a3"/>
        <w:spacing w:after="0" w:line="240" w:lineRule="auto"/>
        <w:ind w:left="0" w:firstLine="709"/>
        <w:jc w:val="both"/>
        <w:rPr>
          <w:rFonts w:ascii="Arial" w:hAnsi="Arial" w:cs="Arial"/>
          <w:sz w:val="28"/>
          <w:szCs w:val="28"/>
        </w:rPr>
      </w:pPr>
    </w:p>
    <w:p w:rsidR="00AF3BE4" w:rsidRPr="00DE563C" w:rsidRDefault="00AF3BE4" w:rsidP="00AF3BE4">
      <w:pPr>
        <w:jc w:val="both"/>
      </w:pPr>
    </w:p>
    <w:p w:rsidR="00F51A06" w:rsidRDefault="00F51A06"/>
    <w:sectPr w:rsidR="00F51A06" w:rsidSect="00AF3BE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6050B"/>
    <w:multiLevelType w:val="hybridMultilevel"/>
    <w:tmpl w:val="EBB400B8"/>
    <w:lvl w:ilvl="0" w:tplc="0D585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E21"/>
    <w:rsid w:val="001737BA"/>
    <w:rsid w:val="00AF3BE4"/>
    <w:rsid w:val="00C10E21"/>
    <w:rsid w:val="00F5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5D9EF-5E74-4E4F-A41F-B49E2D37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B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BE4"/>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2020-10-15T14:20:00Z</dcterms:created>
  <dcterms:modified xsi:type="dcterms:W3CDTF">2020-10-16T06:05:00Z</dcterms:modified>
</cp:coreProperties>
</file>