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45C0" w14:textId="77777777" w:rsidR="000D7CF7" w:rsidRPr="00C8221B" w:rsidRDefault="003E5050">
      <w:bookmarkStart w:id="0" w:name="_heading=h.gjdgxs" w:colFirst="0" w:colLast="0"/>
      <w:bookmarkEnd w:id="0"/>
      <w:r w:rsidRPr="00C8221B">
        <w:t xml:space="preserve"> </w:t>
      </w:r>
    </w:p>
    <w:tbl>
      <w:tblPr>
        <w:tblStyle w:val="af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0D7CF7" w:rsidRPr="00C8221B" w14:paraId="2EAE8B88" w14:textId="77777777">
        <w:tc>
          <w:tcPr>
            <w:tcW w:w="2978" w:type="dxa"/>
            <w:vMerge w:val="restart"/>
          </w:tcPr>
          <w:p w14:paraId="4663BCCD" w14:textId="77777777" w:rsidR="000D7CF7" w:rsidRPr="00C8221B" w:rsidRDefault="003E5050">
            <w:pPr>
              <w:jc w:val="center"/>
            </w:pPr>
            <w:r w:rsidRPr="00C8221B">
              <w:rPr>
                <w:noProof/>
              </w:rPr>
              <w:drawing>
                <wp:inline distT="0" distB="0" distL="0" distR="0" wp14:anchorId="1CE07B6C" wp14:editId="6AEB9B86">
                  <wp:extent cx="1016510" cy="1026576"/>
                  <wp:effectExtent l="0" t="0" r="0" b="0"/>
                  <wp:docPr id="4" name="image2.png" descr="E:\nubip_logo_new_poisk_18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:\nubip_logo_new_poisk_18_2.png"/>
                          <pic:cNvPicPr preferRelativeResize="0"/>
                        </pic:nvPicPr>
                        <pic:blipFill>
                          <a:blip r:embed="rId6"/>
                          <a:srcRect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B4EED98" w14:textId="77777777" w:rsidR="000D7CF7" w:rsidRPr="00C8221B" w:rsidRDefault="003E5050">
            <w:pPr>
              <w:jc w:val="center"/>
              <w:rPr>
                <w:b/>
                <w:color w:val="17365D"/>
              </w:rPr>
            </w:pPr>
            <w:r w:rsidRPr="00C8221B">
              <w:rPr>
                <w:b/>
                <w:color w:val="17365D"/>
              </w:rPr>
              <w:t xml:space="preserve">СИЛАБУС </w:t>
            </w:r>
          </w:p>
          <w:p w14:paraId="1DFDDA5B" w14:textId="3CDCAD98" w:rsidR="000D7CF7" w:rsidRPr="00C8221B" w:rsidRDefault="003E5050">
            <w:pPr>
              <w:jc w:val="center"/>
              <w:rPr>
                <w:b/>
                <w:color w:val="17365D"/>
              </w:rPr>
            </w:pPr>
            <w:r w:rsidRPr="00C8221B">
              <w:rPr>
                <w:b/>
                <w:color w:val="17365D"/>
              </w:rPr>
              <w:t>«</w:t>
            </w:r>
            <w:r w:rsidR="00D64464" w:rsidRPr="00C8221B">
              <w:rPr>
                <w:b/>
                <w:color w:val="17365D"/>
              </w:rPr>
              <w:t>Внутрішня медицина з оцінкою результатів досліджень</w:t>
            </w:r>
            <w:r w:rsidRPr="00C8221B">
              <w:rPr>
                <w:b/>
                <w:color w:val="17365D"/>
              </w:rPr>
              <w:t>»</w:t>
            </w:r>
          </w:p>
        </w:tc>
      </w:tr>
      <w:tr w:rsidR="000D7CF7" w:rsidRPr="00C8221B" w14:paraId="2C856C2D" w14:textId="77777777">
        <w:tc>
          <w:tcPr>
            <w:tcW w:w="2978" w:type="dxa"/>
            <w:vMerge/>
          </w:tcPr>
          <w:p w14:paraId="792BBC44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7365D"/>
              </w:rPr>
            </w:pPr>
          </w:p>
        </w:tc>
        <w:tc>
          <w:tcPr>
            <w:tcW w:w="6911" w:type="dxa"/>
          </w:tcPr>
          <w:p w14:paraId="1DE27112" w14:textId="77777777" w:rsidR="000D7CF7" w:rsidRPr="00C8221B" w:rsidRDefault="000D7CF7">
            <w:pPr>
              <w:rPr>
                <w:b/>
              </w:rPr>
            </w:pPr>
          </w:p>
          <w:p w14:paraId="13187677" w14:textId="77777777" w:rsidR="000D7CF7" w:rsidRPr="00C8221B" w:rsidRDefault="003E5050">
            <w:pPr>
              <w:rPr>
                <w:b/>
              </w:rPr>
            </w:pPr>
            <w:r w:rsidRPr="00C8221B">
              <w:rPr>
                <w:b/>
              </w:rPr>
              <w:t>Ступінь вищої освіти – Бакалавр</w:t>
            </w:r>
          </w:p>
        </w:tc>
      </w:tr>
      <w:tr w:rsidR="000D7CF7" w:rsidRPr="00C8221B" w14:paraId="00F783F1" w14:textId="77777777">
        <w:tc>
          <w:tcPr>
            <w:tcW w:w="2978" w:type="dxa"/>
            <w:vMerge/>
          </w:tcPr>
          <w:p w14:paraId="1593D5FD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11" w:type="dxa"/>
          </w:tcPr>
          <w:p w14:paraId="63850401" w14:textId="74F28518" w:rsidR="000D7CF7" w:rsidRPr="00C8221B" w:rsidRDefault="003E5050">
            <w:pPr>
              <w:rPr>
                <w:b/>
              </w:rPr>
            </w:pPr>
            <w:r w:rsidRPr="00C8221B">
              <w:rPr>
                <w:b/>
              </w:rPr>
              <w:t xml:space="preserve">Спеціальність </w:t>
            </w:r>
            <w:r w:rsidR="00E933FF" w:rsidRPr="00C8221B">
              <w:rPr>
                <w:b/>
              </w:rPr>
              <w:t>229 «Громадське здоровꞌя»</w:t>
            </w:r>
          </w:p>
        </w:tc>
      </w:tr>
      <w:tr w:rsidR="000D7CF7" w:rsidRPr="00C8221B" w14:paraId="1940F6B3" w14:textId="77777777">
        <w:tc>
          <w:tcPr>
            <w:tcW w:w="2978" w:type="dxa"/>
            <w:vMerge/>
          </w:tcPr>
          <w:p w14:paraId="328D6568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11" w:type="dxa"/>
          </w:tcPr>
          <w:p w14:paraId="75780ABD" w14:textId="77777777" w:rsidR="000D7CF7" w:rsidRPr="00C8221B" w:rsidRDefault="000D7CF7">
            <w:pPr>
              <w:rPr>
                <w:b/>
              </w:rPr>
            </w:pPr>
          </w:p>
        </w:tc>
      </w:tr>
      <w:tr w:rsidR="000D7CF7" w:rsidRPr="00C8221B" w14:paraId="070BE6C5" w14:textId="77777777">
        <w:tc>
          <w:tcPr>
            <w:tcW w:w="2978" w:type="dxa"/>
            <w:vMerge/>
          </w:tcPr>
          <w:p w14:paraId="6C4500D3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11" w:type="dxa"/>
          </w:tcPr>
          <w:p w14:paraId="2E3D89A7" w14:textId="5D5F14EC" w:rsidR="000D7CF7" w:rsidRPr="00C8221B" w:rsidRDefault="003E5050">
            <w:pPr>
              <w:rPr>
                <w:b/>
              </w:rPr>
            </w:pPr>
            <w:r w:rsidRPr="00C8221B">
              <w:rPr>
                <w:b/>
              </w:rPr>
              <w:t>Рік навчання</w:t>
            </w:r>
            <w:r w:rsidR="0062437C" w:rsidRPr="00C8221B">
              <w:rPr>
                <w:b/>
              </w:rPr>
              <w:t>:</w:t>
            </w:r>
            <w:r w:rsidRPr="00C8221B">
              <w:rPr>
                <w:b/>
              </w:rPr>
              <w:t xml:space="preserve"> 3, семестр 6 </w:t>
            </w:r>
          </w:p>
          <w:p w14:paraId="09D68DD5" w14:textId="23B27E46" w:rsidR="000D7CF7" w:rsidRPr="00C8221B" w:rsidRDefault="003E5050">
            <w:pPr>
              <w:rPr>
                <w:b/>
              </w:rPr>
            </w:pPr>
            <w:r w:rsidRPr="00C8221B">
              <w:rPr>
                <w:b/>
              </w:rPr>
              <w:t>Форма навчання</w:t>
            </w:r>
            <w:r w:rsidR="0062437C" w:rsidRPr="00C8221B">
              <w:rPr>
                <w:b/>
              </w:rPr>
              <w:t>:</w:t>
            </w:r>
            <w:r w:rsidRPr="00C8221B">
              <w:rPr>
                <w:b/>
              </w:rPr>
              <w:t xml:space="preserve"> денна</w:t>
            </w:r>
          </w:p>
        </w:tc>
      </w:tr>
      <w:tr w:rsidR="000D7CF7" w:rsidRPr="00C8221B" w14:paraId="77DEE33A" w14:textId="77777777">
        <w:tc>
          <w:tcPr>
            <w:tcW w:w="2978" w:type="dxa"/>
            <w:vMerge/>
          </w:tcPr>
          <w:p w14:paraId="6EA0C47E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11" w:type="dxa"/>
          </w:tcPr>
          <w:p w14:paraId="289F0711" w14:textId="77777777" w:rsidR="000D7CF7" w:rsidRPr="00C8221B" w:rsidRDefault="000D7CF7">
            <w:pPr>
              <w:rPr>
                <w:b/>
              </w:rPr>
            </w:pPr>
          </w:p>
        </w:tc>
      </w:tr>
      <w:tr w:rsidR="000D7CF7" w:rsidRPr="00C8221B" w14:paraId="514B2B1C" w14:textId="77777777">
        <w:tc>
          <w:tcPr>
            <w:tcW w:w="2978" w:type="dxa"/>
            <w:vMerge/>
          </w:tcPr>
          <w:p w14:paraId="3CC00FEC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11" w:type="dxa"/>
          </w:tcPr>
          <w:p w14:paraId="2F2FA149" w14:textId="65EE3512" w:rsidR="000D7CF7" w:rsidRPr="00C8221B" w:rsidRDefault="003E5050">
            <w:pPr>
              <w:rPr>
                <w:b/>
              </w:rPr>
            </w:pPr>
            <w:r w:rsidRPr="00C8221B">
              <w:rPr>
                <w:b/>
              </w:rPr>
              <w:t>Мова викладання: українська</w:t>
            </w:r>
          </w:p>
        </w:tc>
      </w:tr>
      <w:tr w:rsidR="000D7CF7" w:rsidRPr="00C8221B" w14:paraId="01D763F5" w14:textId="77777777">
        <w:tc>
          <w:tcPr>
            <w:tcW w:w="2978" w:type="dxa"/>
          </w:tcPr>
          <w:p w14:paraId="4BC1B6D9" w14:textId="77777777" w:rsidR="000D7CF7" w:rsidRPr="00C8221B" w:rsidRDefault="003E5050">
            <w:r w:rsidRPr="00C8221B">
              <w:t>_______________________</w:t>
            </w:r>
          </w:p>
        </w:tc>
        <w:tc>
          <w:tcPr>
            <w:tcW w:w="6911" w:type="dxa"/>
          </w:tcPr>
          <w:p w14:paraId="61908F54" w14:textId="77777777" w:rsidR="000D7CF7" w:rsidRPr="00C8221B" w:rsidRDefault="000D7CF7">
            <w:pPr>
              <w:rPr>
                <w:b/>
              </w:rPr>
            </w:pPr>
          </w:p>
        </w:tc>
      </w:tr>
      <w:tr w:rsidR="000D7CF7" w:rsidRPr="00C8221B" w14:paraId="6A225E78" w14:textId="77777777">
        <w:tc>
          <w:tcPr>
            <w:tcW w:w="2978" w:type="dxa"/>
          </w:tcPr>
          <w:p w14:paraId="3F226AB2" w14:textId="77777777" w:rsidR="000D7CF7" w:rsidRPr="00C8221B" w:rsidRDefault="003E5050">
            <w:pPr>
              <w:rPr>
                <w:b/>
              </w:rPr>
            </w:pPr>
            <w:r w:rsidRPr="00C8221B">
              <w:rPr>
                <w:b/>
              </w:rPr>
              <w:t>Лектор курсу</w:t>
            </w:r>
          </w:p>
          <w:p w14:paraId="26640D74" w14:textId="77777777" w:rsidR="000D7CF7" w:rsidRPr="00C8221B" w:rsidRDefault="000D7CF7">
            <w:pPr>
              <w:rPr>
                <w:b/>
              </w:rPr>
            </w:pPr>
          </w:p>
          <w:p w14:paraId="6764DD00" w14:textId="77777777" w:rsidR="000D7CF7" w:rsidRPr="00C8221B" w:rsidRDefault="000D7CF7">
            <w:pPr>
              <w:rPr>
                <w:b/>
              </w:rPr>
            </w:pPr>
          </w:p>
          <w:p w14:paraId="47ADADA5" w14:textId="77777777" w:rsidR="00BE1587" w:rsidRPr="00C8221B" w:rsidRDefault="00BE1587">
            <w:pPr>
              <w:rPr>
                <w:b/>
              </w:rPr>
            </w:pPr>
          </w:p>
          <w:p w14:paraId="237F3C3E" w14:textId="1668A5CF" w:rsidR="000D7CF7" w:rsidRPr="00C8221B" w:rsidRDefault="003E5050">
            <w:pPr>
              <w:rPr>
                <w:b/>
              </w:rPr>
            </w:pPr>
            <w:r w:rsidRPr="00C8221B">
              <w:rPr>
                <w:b/>
              </w:rPr>
              <w:t>Контактна інформація лектора (e-mail)</w:t>
            </w:r>
          </w:p>
          <w:p w14:paraId="6336D7EF" w14:textId="77777777" w:rsidR="000D7CF7" w:rsidRPr="00C8221B" w:rsidRDefault="000D7CF7">
            <w:pPr>
              <w:rPr>
                <w:b/>
              </w:rPr>
            </w:pPr>
          </w:p>
        </w:tc>
        <w:tc>
          <w:tcPr>
            <w:tcW w:w="6911" w:type="dxa"/>
          </w:tcPr>
          <w:p w14:paraId="4A06DB9E" w14:textId="7292A491" w:rsidR="000D7CF7" w:rsidRPr="00C8221B" w:rsidRDefault="00E933FF">
            <w:pPr>
              <w:rPr>
                <w:b/>
              </w:rPr>
            </w:pPr>
            <w:r w:rsidRPr="00C8221B">
              <w:rPr>
                <w:b/>
              </w:rPr>
              <w:t>Постой Руслана Вікторівна</w:t>
            </w:r>
            <w:r w:rsidR="003E5050" w:rsidRPr="00C8221B">
              <w:rPr>
                <w:b/>
              </w:rPr>
              <w:t xml:space="preserve">, </w:t>
            </w:r>
          </w:p>
          <w:p w14:paraId="3C31B355" w14:textId="36384BBE" w:rsidR="000D7CF7" w:rsidRPr="00C8221B" w:rsidRDefault="001B6EB3">
            <w:pPr>
              <w:ind w:right="2798"/>
            </w:pPr>
            <w:r w:rsidRPr="00C8221B">
              <w:rPr>
                <w:b/>
                <w:lang w:val="ru-RU"/>
              </w:rPr>
              <w:t>д</w:t>
            </w:r>
            <w:proofErr w:type="spellStart"/>
            <w:r w:rsidR="00E933FF" w:rsidRPr="00C8221B">
              <w:rPr>
                <w:b/>
              </w:rPr>
              <w:t>оцент</w:t>
            </w:r>
            <w:proofErr w:type="spellEnd"/>
            <w:r w:rsidR="003E5050" w:rsidRPr="00C8221B">
              <w:rPr>
                <w:b/>
              </w:rPr>
              <w:t xml:space="preserve"> кафедри</w:t>
            </w:r>
            <w:r w:rsidR="00E933FF" w:rsidRPr="00C8221B">
              <w:t xml:space="preserve"> </w:t>
            </w:r>
            <w:r w:rsidR="00E933FF" w:rsidRPr="00C8221B">
              <w:rPr>
                <w:b/>
              </w:rPr>
              <w:t xml:space="preserve">стандартизації та сертифікації с.г. продукції </w:t>
            </w:r>
          </w:p>
          <w:p w14:paraId="364E38AC" w14:textId="77777777" w:rsidR="00E933FF" w:rsidRPr="00C8221B" w:rsidRDefault="00E933FF">
            <w:pPr>
              <w:ind w:right="2798"/>
            </w:pPr>
          </w:p>
          <w:p w14:paraId="46A7E893" w14:textId="77777777" w:rsidR="00E933FF" w:rsidRPr="00C8221B" w:rsidRDefault="00E933FF" w:rsidP="00E933FF">
            <w:pPr>
              <w:ind w:right="2798"/>
              <w:rPr>
                <w:b/>
              </w:rPr>
            </w:pPr>
            <w:r w:rsidRPr="00C8221B">
              <w:rPr>
                <w:b/>
              </w:rPr>
              <w:t>Корпус 3, кім. 221</w:t>
            </w:r>
          </w:p>
          <w:p w14:paraId="32923827" w14:textId="77777777" w:rsidR="00E933FF" w:rsidRPr="00C8221B" w:rsidRDefault="00E933FF" w:rsidP="00E933FF">
            <w:pPr>
              <w:ind w:right="2798"/>
              <w:rPr>
                <w:b/>
              </w:rPr>
            </w:pPr>
          </w:p>
          <w:p w14:paraId="7EBB1505" w14:textId="54FE3CAA" w:rsidR="000D7CF7" w:rsidRPr="00C8221B" w:rsidRDefault="00E933FF" w:rsidP="00E933FF">
            <w:pPr>
              <w:ind w:right="2798"/>
              <w:rPr>
                <w:rFonts w:eastAsia="Calibri"/>
              </w:rPr>
            </w:pPr>
            <w:r w:rsidRPr="00C8221B">
              <w:rPr>
                <w:b/>
              </w:rPr>
              <w:t>Ел. адреса: ruslana_postoy@nubip.edu.ua</w:t>
            </w:r>
          </w:p>
        </w:tc>
      </w:tr>
    </w:tbl>
    <w:p w14:paraId="438F12F6" w14:textId="77777777" w:rsidR="000D7CF7" w:rsidRPr="00C8221B" w:rsidRDefault="000D7CF7">
      <w:pPr>
        <w:rPr>
          <w:b/>
        </w:rPr>
      </w:pPr>
    </w:p>
    <w:p w14:paraId="62D73A63" w14:textId="77777777" w:rsidR="000D7CF7" w:rsidRPr="00C8221B" w:rsidRDefault="003E5050">
      <w:pPr>
        <w:jc w:val="center"/>
        <w:rPr>
          <w:b/>
          <w:color w:val="002060"/>
        </w:rPr>
      </w:pPr>
      <w:r w:rsidRPr="00C8221B">
        <w:rPr>
          <w:b/>
          <w:color w:val="002060"/>
        </w:rPr>
        <w:t>ОПИС ДИСЦИПЛІНИ</w:t>
      </w:r>
    </w:p>
    <w:p w14:paraId="09B78D21" w14:textId="77777777" w:rsidR="00B54520" w:rsidRPr="00C8221B" w:rsidRDefault="00B54520" w:rsidP="002E2165">
      <w:pPr>
        <w:tabs>
          <w:tab w:val="left" w:pos="284"/>
          <w:tab w:val="left" w:pos="567"/>
        </w:tabs>
        <w:ind w:firstLine="567"/>
        <w:jc w:val="both"/>
      </w:pPr>
    </w:p>
    <w:p w14:paraId="7EB25A36" w14:textId="77777777" w:rsidR="001652D0" w:rsidRDefault="00C8221B" w:rsidP="001652D0">
      <w:pPr>
        <w:tabs>
          <w:tab w:val="left" w:pos="284"/>
          <w:tab w:val="left" w:pos="567"/>
        </w:tabs>
        <w:ind w:firstLine="567"/>
        <w:jc w:val="both"/>
      </w:pPr>
      <w:r w:rsidRPr="00C8221B">
        <w:t xml:space="preserve">Одним із основних завдань громадського здоров’я є запобігання захворюванням. </w:t>
      </w:r>
      <w:r w:rsidR="002E2165" w:rsidRPr="00C8221B">
        <w:rPr>
          <w:b/>
        </w:rPr>
        <w:t>М</w:t>
      </w:r>
      <w:r w:rsidR="002E2165" w:rsidRPr="00715351">
        <w:rPr>
          <w:b/>
        </w:rPr>
        <w:t>ета</w:t>
      </w:r>
      <w:r w:rsidR="00A2518E" w:rsidRPr="00715351">
        <w:rPr>
          <w:bCs/>
        </w:rPr>
        <w:t xml:space="preserve"> </w:t>
      </w:r>
      <w:r w:rsidR="00A2518E" w:rsidRPr="00715351">
        <w:rPr>
          <w:b/>
        </w:rPr>
        <w:t>дисципліни</w:t>
      </w:r>
      <w:r w:rsidR="002E2165" w:rsidRPr="00715351">
        <w:rPr>
          <w:b/>
        </w:rPr>
        <w:t>:</w:t>
      </w:r>
      <w:r w:rsidR="002E2165" w:rsidRPr="00715351">
        <w:rPr>
          <w:bCs/>
        </w:rPr>
        <w:t xml:space="preserve"> ознайомити </w:t>
      </w:r>
      <w:r w:rsidR="00A2518E" w:rsidRPr="00715351">
        <w:rPr>
          <w:bCs/>
        </w:rPr>
        <w:t>студентів</w:t>
      </w:r>
      <w:r w:rsidR="002E2165" w:rsidRPr="00715351">
        <w:rPr>
          <w:bCs/>
        </w:rPr>
        <w:t xml:space="preserve"> із </w:t>
      </w:r>
      <w:r w:rsidR="005540F4" w:rsidRPr="00715351">
        <w:rPr>
          <w:bCs/>
        </w:rPr>
        <w:t>основами внутрішньої медицини</w:t>
      </w:r>
      <w:r w:rsidR="00190F66" w:rsidRPr="00715351">
        <w:rPr>
          <w:bCs/>
        </w:rPr>
        <w:t xml:space="preserve">. </w:t>
      </w:r>
      <w:r w:rsidR="004340F5" w:rsidRPr="004340F5">
        <w:rPr>
          <w:lang w:eastAsia="ru-RU"/>
        </w:rPr>
        <w:t xml:space="preserve">Студент повинен отримати знання щодо внутрішніх захворювань людини, які становлять найбільшу загрозу громадському </w:t>
      </w:r>
      <w:proofErr w:type="spellStart"/>
      <w:r w:rsidR="004340F5" w:rsidRPr="004340F5">
        <w:rPr>
          <w:lang w:eastAsia="ru-RU"/>
        </w:rPr>
        <w:t>здоров’ю</w:t>
      </w:r>
      <w:proofErr w:type="spellEnd"/>
      <w:r w:rsidR="004340F5" w:rsidRPr="004340F5">
        <w:rPr>
          <w:lang w:eastAsia="ru-RU"/>
        </w:rPr>
        <w:t xml:space="preserve">, зокрема щодо визначення найпоширеніших внутрішніх захворювань, причин їхнього поширення серед населення і факторів ризику, діагностичного алгоритму та основних принципів профілактики. Також передбачено ознайомлення з системою охорони </w:t>
      </w:r>
      <w:proofErr w:type="spellStart"/>
      <w:r w:rsidR="004340F5" w:rsidRPr="004340F5">
        <w:rPr>
          <w:lang w:eastAsia="ru-RU"/>
        </w:rPr>
        <w:t>здоров´я</w:t>
      </w:r>
      <w:proofErr w:type="spellEnd"/>
      <w:r w:rsidR="004340F5" w:rsidRPr="004340F5">
        <w:rPr>
          <w:lang w:eastAsia="ru-RU"/>
        </w:rPr>
        <w:t xml:space="preserve"> в Україні та поняттям про формування політики у галузі охорони здоровʼя.</w:t>
      </w:r>
    </w:p>
    <w:p w14:paraId="5518D95F" w14:textId="77777777" w:rsidR="007A0F96" w:rsidRDefault="004340F5" w:rsidP="007A0F96">
      <w:pPr>
        <w:tabs>
          <w:tab w:val="left" w:pos="284"/>
          <w:tab w:val="left" w:pos="567"/>
        </w:tabs>
        <w:ind w:firstLine="567"/>
        <w:jc w:val="both"/>
      </w:pPr>
      <w:r w:rsidRPr="004340F5">
        <w:rPr>
          <w:lang w:eastAsia="ru-RU"/>
        </w:rPr>
        <w:t xml:space="preserve">Головне </w:t>
      </w:r>
      <w:r w:rsidRPr="004340F5">
        <w:rPr>
          <w:b/>
          <w:bCs/>
          <w:i/>
          <w:iCs/>
          <w:lang w:eastAsia="ru-RU"/>
        </w:rPr>
        <w:t>завдання</w:t>
      </w:r>
      <w:r w:rsidRPr="004340F5">
        <w:rPr>
          <w:lang w:eastAsia="ru-RU"/>
        </w:rPr>
        <w:t xml:space="preserve"> вивчення дисципліни – формування уявлень про загальні закономірності поширення внутрішніх захворювань серед населення, вміння визначати основні причини та фактори ризику розвитку внутрішніх захворювань, розуміння </w:t>
      </w:r>
      <w:r w:rsidRPr="004340F5">
        <w:rPr>
          <w:lang w:val="x-none" w:eastAsia="ru-RU"/>
        </w:rPr>
        <w:t>наслідків</w:t>
      </w:r>
      <w:r w:rsidRPr="004340F5">
        <w:rPr>
          <w:lang w:eastAsia="ru-RU"/>
        </w:rPr>
        <w:t xml:space="preserve"> поширення внутрішніх захворювань </w:t>
      </w:r>
      <w:r w:rsidRPr="004340F5">
        <w:rPr>
          <w:lang w:val="x-none" w:eastAsia="ru-RU"/>
        </w:rPr>
        <w:t>для суспільства</w:t>
      </w:r>
      <w:r w:rsidRPr="004340F5">
        <w:rPr>
          <w:lang w:eastAsia="ru-RU"/>
        </w:rPr>
        <w:t xml:space="preserve"> та вміння застосовувати отримані знання для розробки ефективних заходів профілактики найпоширеніших внутрішніх захворювань.</w:t>
      </w:r>
    </w:p>
    <w:p w14:paraId="0A0C2070" w14:textId="77777777" w:rsidR="007A0F96" w:rsidRDefault="007A0F96" w:rsidP="007A0F96">
      <w:pPr>
        <w:tabs>
          <w:tab w:val="left" w:pos="284"/>
          <w:tab w:val="left" w:pos="567"/>
        </w:tabs>
        <w:ind w:firstLine="567"/>
        <w:jc w:val="both"/>
      </w:pPr>
    </w:p>
    <w:p w14:paraId="21B84263" w14:textId="3557F2D8" w:rsidR="00C8221B" w:rsidRPr="007A0F96" w:rsidRDefault="00C8221B" w:rsidP="007A0F96">
      <w:pPr>
        <w:tabs>
          <w:tab w:val="left" w:pos="284"/>
          <w:tab w:val="left" w:pos="567"/>
        </w:tabs>
        <w:ind w:firstLine="567"/>
        <w:jc w:val="both"/>
        <w:rPr>
          <w:highlight w:val="white"/>
        </w:rPr>
      </w:pPr>
      <w:r w:rsidRPr="007A0F96">
        <w:rPr>
          <w:bCs/>
        </w:rPr>
        <w:t xml:space="preserve">У результаті вивчення навчальної дисципліни студент повинен </w:t>
      </w:r>
    </w:p>
    <w:p w14:paraId="34D7A622" w14:textId="77777777" w:rsidR="00C8221B" w:rsidRPr="00DE5B3C" w:rsidRDefault="00C8221B" w:rsidP="005E4EB2">
      <w:pPr>
        <w:pStyle w:val="a7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5B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знати: </w:t>
      </w:r>
    </w:p>
    <w:p w14:paraId="500D3BD8" w14:textId="77777777" w:rsidR="00C8221B" w:rsidRPr="00DE5B3C" w:rsidRDefault="00C8221B" w:rsidP="005E4EB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B3C">
        <w:rPr>
          <w:rFonts w:ascii="Times New Roman" w:hAnsi="Times New Roman" w:cs="Times New Roman"/>
          <w:bCs/>
          <w:sz w:val="24"/>
          <w:szCs w:val="24"/>
        </w:rPr>
        <w:t>визначення найпоширеніших внутрішніх захворювань;</w:t>
      </w:r>
    </w:p>
    <w:p w14:paraId="26BDB0FA" w14:textId="77777777" w:rsidR="00C8221B" w:rsidRPr="00DE5B3C" w:rsidRDefault="00C8221B" w:rsidP="005E4EB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B3C">
        <w:rPr>
          <w:rFonts w:ascii="Times New Roman" w:hAnsi="Times New Roman" w:cs="Times New Roman"/>
          <w:bCs/>
          <w:sz w:val="24"/>
          <w:szCs w:val="24"/>
        </w:rPr>
        <w:t>етіологію найпоширеніших внутрішніх захворювань;</w:t>
      </w:r>
    </w:p>
    <w:p w14:paraId="563B22B0" w14:textId="77777777" w:rsidR="00C8221B" w:rsidRPr="00DE5B3C" w:rsidRDefault="00C8221B" w:rsidP="005E4EB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B3C">
        <w:rPr>
          <w:rFonts w:ascii="Times New Roman" w:hAnsi="Times New Roman" w:cs="Times New Roman"/>
          <w:bCs/>
          <w:sz w:val="24"/>
          <w:szCs w:val="24"/>
        </w:rPr>
        <w:t>фактори ризику внутрішніх захворювань;</w:t>
      </w:r>
    </w:p>
    <w:p w14:paraId="35AE98CC" w14:textId="77777777" w:rsidR="00C8221B" w:rsidRPr="00DE5B3C" w:rsidRDefault="00C8221B" w:rsidP="005E4EB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DE5B3C">
        <w:rPr>
          <w:rFonts w:ascii="Times New Roman" w:hAnsi="Times New Roman" w:cs="Times New Roman"/>
          <w:bCs/>
          <w:sz w:val="24"/>
          <w:szCs w:val="24"/>
        </w:rPr>
        <w:t>основи діаг</w:t>
      </w:r>
      <w:r w:rsidRPr="00DE5B3C">
        <w:rPr>
          <w:rFonts w:ascii="Times New Roman" w:hAnsi="Times New Roman" w:cs="Times New Roman"/>
          <w:bCs/>
        </w:rPr>
        <w:t>ностики найпоширеніших внутрішніх захворювань;</w:t>
      </w:r>
    </w:p>
    <w:p w14:paraId="0628A24E" w14:textId="0599A9C7" w:rsidR="00C8221B" w:rsidRPr="00DE5B3C" w:rsidRDefault="00C8221B" w:rsidP="005E4EB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DE5B3C">
        <w:rPr>
          <w:rFonts w:ascii="Times New Roman" w:hAnsi="Times New Roman" w:cs="Times New Roman"/>
          <w:bCs/>
        </w:rPr>
        <w:t>основні принципи профілактики найпоширеніших внутрішніх захворювань</w:t>
      </w:r>
      <w:r w:rsidR="002A6DBC" w:rsidRPr="00DE5B3C">
        <w:rPr>
          <w:rFonts w:ascii="Times New Roman" w:hAnsi="Times New Roman" w:cs="Times New Roman"/>
          <w:bCs/>
        </w:rPr>
        <w:t>.</w:t>
      </w:r>
    </w:p>
    <w:p w14:paraId="5FE735CB" w14:textId="77777777" w:rsidR="00C8221B" w:rsidRPr="00DE5B3C" w:rsidRDefault="00C8221B" w:rsidP="00C8221B">
      <w:pPr>
        <w:pStyle w:val="a7"/>
        <w:tabs>
          <w:tab w:val="left" w:pos="284"/>
          <w:tab w:val="left" w:pos="567"/>
        </w:tabs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079413" w14:textId="77777777" w:rsidR="00C8221B" w:rsidRPr="00DE5B3C" w:rsidRDefault="00C8221B" w:rsidP="005E4EB2">
      <w:pPr>
        <w:pStyle w:val="a7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5B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вміти: </w:t>
      </w:r>
    </w:p>
    <w:p w14:paraId="71C862E2" w14:textId="77777777" w:rsidR="00C8221B" w:rsidRPr="00DE5B3C" w:rsidRDefault="00C8221B" w:rsidP="005E4EB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DE5B3C">
        <w:rPr>
          <w:rFonts w:ascii="Times New Roman" w:hAnsi="Times New Roman" w:cs="Times New Roman"/>
          <w:bCs/>
        </w:rPr>
        <w:t>аналізувати епідеміологічні дані щодо внутрішніх захворювань;</w:t>
      </w:r>
    </w:p>
    <w:p w14:paraId="51EDF0C9" w14:textId="7E2B9DF6" w:rsidR="00A06B99" w:rsidRPr="00DE5B3C" w:rsidRDefault="00A06B99" w:rsidP="005E4EB2">
      <w:pPr>
        <w:pStyle w:val="a7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DE5B3C">
        <w:rPr>
          <w:rFonts w:ascii="Times New Roman" w:hAnsi="Times New Roman" w:cs="Times New Roman"/>
          <w:bCs/>
        </w:rPr>
        <w:t>визначати основні причини поширення внутрішніх захворювань серед населення;</w:t>
      </w:r>
    </w:p>
    <w:p w14:paraId="303B3AEB" w14:textId="77777777" w:rsidR="00A06B99" w:rsidRPr="00DE5B3C" w:rsidRDefault="00A06B99" w:rsidP="005E4EB2">
      <w:pPr>
        <w:pStyle w:val="a7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DE5B3C">
        <w:rPr>
          <w:rFonts w:ascii="Times New Roman" w:hAnsi="Times New Roman" w:cs="Times New Roman"/>
          <w:bCs/>
        </w:rPr>
        <w:t>визначати основні фактори ризику внутрішніх захворювань;</w:t>
      </w:r>
    </w:p>
    <w:p w14:paraId="0879D774" w14:textId="392F64CB" w:rsidR="00C8221B" w:rsidRPr="001D34D3" w:rsidRDefault="00A06B99" w:rsidP="005E4EB2">
      <w:pPr>
        <w:pStyle w:val="a7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1D34D3">
        <w:rPr>
          <w:rFonts w:ascii="Times New Roman" w:hAnsi="Times New Roman" w:cs="Times New Roman"/>
          <w:bCs/>
        </w:rPr>
        <w:t>прогнозувати наслідки</w:t>
      </w:r>
      <w:r w:rsidRPr="001D34D3">
        <w:rPr>
          <w:rFonts w:ascii="Times New Roman" w:hAnsi="Times New Roman" w:cs="Times New Roman"/>
          <w:bCs/>
          <w:lang w:val="en-US"/>
        </w:rPr>
        <w:t xml:space="preserve"> </w:t>
      </w:r>
      <w:r w:rsidRPr="001D34D3">
        <w:rPr>
          <w:rFonts w:ascii="Times New Roman" w:hAnsi="Times New Roman" w:cs="Times New Roman"/>
          <w:bCs/>
        </w:rPr>
        <w:t>поширення внутрішніх захворювань для суспільства;</w:t>
      </w:r>
    </w:p>
    <w:p w14:paraId="01D8D3D3" w14:textId="454B2AEC" w:rsidR="00C8221B" w:rsidRPr="001D34D3" w:rsidRDefault="00C8221B" w:rsidP="005E4EB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1D34D3">
        <w:rPr>
          <w:rFonts w:ascii="Times New Roman" w:hAnsi="Times New Roman" w:cs="Times New Roman"/>
          <w:bCs/>
        </w:rPr>
        <w:t>розробляти заходи профілактики внутрішніх захворювань.</w:t>
      </w:r>
    </w:p>
    <w:p w14:paraId="27F5764B" w14:textId="77777777" w:rsidR="00271B46" w:rsidRPr="001D34D3" w:rsidRDefault="00271B46" w:rsidP="002E2165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14:paraId="33368E15" w14:textId="3C90603D" w:rsidR="002E2165" w:rsidRPr="00C8221B" w:rsidRDefault="002E2165" w:rsidP="002E2165">
      <w:pPr>
        <w:tabs>
          <w:tab w:val="left" w:pos="284"/>
          <w:tab w:val="left" w:pos="567"/>
        </w:tabs>
        <w:ind w:firstLine="567"/>
        <w:jc w:val="both"/>
        <w:rPr>
          <w:b/>
        </w:rPr>
      </w:pPr>
      <w:r w:rsidRPr="001D34D3">
        <w:rPr>
          <w:b/>
        </w:rPr>
        <w:t>Набуття компетентнос</w:t>
      </w:r>
      <w:r w:rsidRPr="00C8221B">
        <w:rPr>
          <w:b/>
        </w:rPr>
        <w:t>тей:</w:t>
      </w:r>
    </w:p>
    <w:p w14:paraId="09C8DBC1" w14:textId="77777777" w:rsidR="00277C58" w:rsidRPr="00C8221B" w:rsidRDefault="00277C58" w:rsidP="002E2165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14:paraId="4EF584D5" w14:textId="79A33B8C" w:rsidR="002E2165" w:rsidRPr="00C8221B" w:rsidRDefault="002E2165" w:rsidP="002E2165">
      <w:pPr>
        <w:tabs>
          <w:tab w:val="left" w:pos="284"/>
          <w:tab w:val="left" w:pos="567"/>
        </w:tabs>
        <w:ind w:firstLine="567"/>
        <w:jc w:val="both"/>
        <w:rPr>
          <w:b/>
          <w:i/>
          <w:iCs/>
        </w:rPr>
      </w:pPr>
      <w:r w:rsidRPr="00C8221B">
        <w:rPr>
          <w:b/>
          <w:i/>
          <w:iCs/>
        </w:rPr>
        <w:t>загальні компетентності (ЗК):</w:t>
      </w:r>
    </w:p>
    <w:p w14:paraId="06307228" w14:textId="77777777" w:rsidR="00277C58" w:rsidRPr="00C8221B" w:rsidRDefault="00277C58" w:rsidP="002E2165">
      <w:pPr>
        <w:tabs>
          <w:tab w:val="left" w:pos="284"/>
          <w:tab w:val="left" w:pos="567"/>
        </w:tabs>
        <w:ind w:firstLine="567"/>
        <w:jc w:val="both"/>
        <w:rPr>
          <w:b/>
          <w:i/>
          <w:iCs/>
        </w:rPr>
      </w:pPr>
    </w:p>
    <w:p w14:paraId="046CCDE1" w14:textId="13D8E067" w:rsidR="00E811F8" w:rsidRPr="00C8221B" w:rsidRDefault="003E0F76" w:rsidP="00E811F8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 xml:space="preserve">ЗК </w:t>
      </w:r>
      <w:r w:rsidR="00D64464" w:rsidRPr="00C8221B">
        <w:rPr>
          <w:bCs/>
        </w:rPr>
        <w:t>7</w:t>
      </w:r>
      <w:r w:rsidRPr="00C8221B">
        <w:rPr>
          <w:bCs/>
        </w:rPr>
        <w:t xml:space="preserve">. </w:t>
      </w:r>
      <w:r w:rsidR="00D64464" w:rsidRPr="00C8221B">
        <w:rPr>
          <w:bCs/>
        </w:rPr>
        <w:t>Здатність приймати обґрунтовані рішення.</w:t>
      </w:r>
    </w:p>
    <w:p w14:paraId="22652217" w14:textId="77777777" w:rsidR="003E0F76" w:rsidRPr="00C8221B" w:rsidRDefault="003E0F76" w:rsidP="00E811F8">
      <w:pPr>
        <w:tabs>
          <w:tab w:val="left" w:pos="284"/>
          <w:tab w:val="left" w:pos="567"/>
        </w:tabs>
        <w:ind w:firstLine="567"/>
        <w:jc w:val="both"/>
        <w:rPr>
          <w:b/>
          <w:i/>
          <w:iCs/>
        </w:rPr>
      </w:pPr>
    </w:p>
    <w:p w14:paraId="085FDC60" w14:textId="761A67CA" w:rsidR="00277C58" w:rsidRPr="00C8221B" w:rsidRDefault="00277C58" w:rsidP="002E2165">
      <w:pPr>
        <w:tabs>
          <w:tab w:val="left" w:pos="284"/>
          <w:tab w:val="left" w:pos="567"/>
        </w:tabs>
        <w:ind w:firstLine="567"/>
        <w:jc w:val="both"/>
        <w:rPr>
          <w:b/>
          <w:i/>
          <w:iCs/>
        </w:rPr>
      </w:pPr>
      <w:r w:rsidRPr="00C8221B">
        <w:rPr>
          <w:b/>
          <w:i/>
          <w:iCs/>
        </w:rPr>
        <w:t>фахові (спеціальні) компетентності (ФК):</w:t>
      </w:r>
    </w:p>
    <w:p w14:paraId="75D888A3" w14:textId="77777777" w:rsidR="00E811F8" w:rsidRPr="00C8221B" w:rsidRDefault="00E811F8" w:rsidP="00E811F8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14:paraId="3983CEE9" w14:textId="7A7B0143" w:rsidR="00D64464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>СК 2. Здатність здобувати нові знання у сфері громадського здоров’я та інтегрувати їх з уже наявними.</w:t>
      </w:r>
    </w:p>
    <w:p w14:paraId="10A5910C" w14:textId="77777777" w:rsidR="00D64464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>СК 4. Здатність оцінювати ризики виникнення та перебігу найбільш поширених захворювань та фактори, що на них впливають, а також оцінювати вплив різних детермінант на здоров'я населення.</w:t>
      </w:r>
    </w:p>
    <w:p w14:paraId="3ABA2904" w14:textId="77777777" w:rsidR="00D64464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>СК 6. Здатність застосовувати основні принципи та методи епідеміологічної діагностики, епідеміологічного аналізу, нагляду за інфекційними та неінфекційними хворобами, в тому числі пов’язаними з наданням медичної допомоги.</w:t>
      </w:r>
    </w:p>
    <w:p w14:paraId="5DE462EE" w14:textId="43055170" w:rsidR="00E811F8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>СК 8. Здатність формувати і вдосконалювати у інших осіб спеціальні знання і навички у сфері громадського здоров’я.</w:t>
      </w:r>
    </w:p>
    <w:p w14:paraId="3E121B97" w14:textId="77777777" w:rsidR="00D64464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/>
          <w:i/>
          <w:iCs/>
        </w:rPr>
      </w:pPr>
    </w:p>
    <w:p w14:paraId="6AA33FE3" w14:textId="0EFEBEA4" w:rsidR="00277C58" w:rsidRPr="00C8221B" w:rsidRDefault="00277C58" w:rsidP="00E811F8">
      <w:pPr>
        <w:tabs>
          <w:tab w:val="left" w:pos="284"/>
          <w:tab w:val="left" w:pos="567"/>
        </w:tabs>
        <w:ind w:firstLine="567"/>
        <w:jc w:val="both"/>
        <w:rPr>
          <w:b/>
          <w:i/>
          <w:iCs/>
        </w:rPr>
      </w:pPr>
      <w:r w:rsidRPr="00C8221B">
        <w:rPr>
          <w:b/>
          <w:i/>
          <w:iCs/>
        </w:rPr>
        <w:t>Програмні результати (ПР):</w:t>
      </w:r>
    </w:p>
    <w:p w14:paraId="5C5862A6" w14:textId="77777777" w:rsidR="00E811F8" w:rsidRPr="00C8221B" w:rsidRDefault="00E811F8" w:rsidP="00E811F8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14:paraId="5DB60D7E" w14:textId="77777777" w:rsidR="00D64464" w:rsidRPr="00C8221B" w:rsidRDefault="00E811F8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 xml:space="preserve">ПРН </w:t>
      </w:r>
      <w:r w:rsidR="00D64464" w:rsidRPr="00C8221B">
        <w:rPr>
          <w:bCs/>
        </w:rPr>
        <w:t>4. Вільно спілкуватися державною та англійською мовами усно і письмово з професійних питань.</w:t>
      </w:r>
    </w:p>
    <w:p w14:paraId="2C307883" w14:textId="77777777" w:rsidR="00D64464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>ПРН 7. Використовувати теорії та методи соціальних наук, сучасні методи статистики, наук про здоров’я для визначення впливу різних детермінант на здоров’я населення.</w:t>
      </w:r>
    </w:p>
    <w:p w14:paraId="22C6F2AA" w14:textId="46688775" w:rsidR="003E0F76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C8221B">
        <w:rPr>
          <w:bCs/>
        </w:rPr>
        <w:t>ПРН 14. Оцінювати ефективність програм і послуг сфери громадського здоров’я, спрямованих на поліпшення здоров’я населення.</w:t>
      </w:r>
    </w:p>
    <w:p w14:paraId="33217536" w14:textId="259A6D10" w:rsidR="00D64464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14:paraId="3056CD7D" w14:textId="77777777" w:rsidR="00D64464" w:rsidRPr="00C8221B" w:rsidRDefault="00D64464" w:rsidP="00D64464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14:paraId="282AD176" w14:textId="130C7B71" w:rsidR="000D7CF7" w:rsidRPr="00C8221B" w:rsidRDefault="00E811F8" w:rsidP="009A4033">
      <w:pPr>
        <w:ind w:firstLine="567"/>
        <w:jc w:val="both"/>
        <w:rPr>
          <w:bCs/>
        </w:rPr>
      </w:pPr>
      <w:r w:rsidRPr="00C8221B">
        <w:rPr>
          <w:bCs/>
        </w:rPr>
        <w:t>На вивчення дисципліни відводиться 1</w:t>
      </w:r>
      <w:r w:rsidR="00D64464" w:rsidRPr="00C8221B">
        <w:rPr>
          <w:bCs/>
        </w:rPr>
        <w:t>5</w:t>
      </w:r>
      <w:r w:rsidRPr="00C8221B">
        <w:rPr>
          <w:bCs/>
        </w:rPr>
        <w:t>0 год (</w:t>
      </w:r>
      <w:r w:rsidR="00D64464" w:rsidRPr="00C8221B">
        <w:rPr>
          <w:bCs/>
        </w:rPr>
        <w:t>5</w:t>
      </w:r>
      <w:r w:rsidRPr="00C8221B">
        <w:rPr>
          <w:bCs/>
        </w:rPr>
        <w:t xml:space="preserve"> кредит</w:t>
      </w:r>
      <w:r w:rsidR="00D64464" w:rsidRPr="00C8221B">
        <w:rPr>
          <w:bCs/>
        </w:rPr>
        <w:t>ів</w:t>
      </w:r>
      <w:r w:rsidRPr="00C8221B">
        <w:rPr>
          <w:bCs/>
        </w:rPr>
        <w:t xml:space="preserve">). Лекційний курс налічує </w:t>
      </w:r>
      <w:r w:rsidR="00D64464" w:rsidRPr="00C8221B">
        <w:rPr>
          <w:bCs/>
        </w:rPr>
        <w:t xml:space="preserve">30 </w:t>
      </w:r>
      <w:r w:rsidRPr="00C8221B">
        <w:rPr>
          <w:bCs/>
        </w:rPr>
        <w:t xml:space="preserve">год., на виконання лабораторних робіт відведено 30 год., для самостійної роботи виділено </w:t>
      </w:r>
      <w:r w:rsidR="00D64464" w:rsidRPr="00C8221B">
        <w:rPr>
          <w:bCs/>
        </w:rPr>
        <w:t>90</w:t>
      </w:r>
      <w:r w:rsidRPr="00C8221B">
        <w:rPr>
          <w:bCs/>
        </w:rPr>
        <w:t xml:space="preserve"> год. Вивчення дисципліни закінчується складанням іспиту в 6 семестрі.</w:t>
      </w:r>
    </w:p>
    <w:p w14:paraId="67B19655" w14:textId="77777777" w:rsidR="000D7CF7" w:rsidRPr="00C8221B" w:rsidRDefault="000D7CF7">
      <w:pPr>
        <w:jc w:val="center"/>
        <w:rPr>
          <w:b/>
          <w:color w:val="17365D"/>
        </w:rPr>
      </w:pPr>
    </w:p>
    <w:p w14:paraId="22E1225B" w14:textId="58FBE979" w:rsidR="000D7CF7" w:rsidRPr="00C8221B" w:rsidRDefault="003E5050">
      <w:pPr>
        <w:jc w:val="center"/>
        <w:rPr>
          <w:b/>
          <w:color w:val="17365D"/>
        </w:rPr>
      </w:pPr>
      <w:r w:rsidRPr="00C8221B">
        <w:rPr>
          <w:b/>
          <w:color w:val="17365D"/>
        </w:rPr>
        <w:t>СТРУКТУРА КУРСУ</w:t>
      </w:r>
    </w:p>
    <w:p w14:paraId="5338AEE2" w14:textId="77777777" w:rsidR="003A55DD" w:rsidRPr="00C8221B" w:rsidRDefault="003A55DD">
      <w:pPr>
        <w:jc w:val="center"/>
        <w:rPr>
          <w:b/>
          <w:color w:val="17365D"/>
        </w:rPr>
      </w:pPr>
    </w:p>
    <w:tbl>
      <w:tblPr>
        <w:tblW w:w="95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088"/>
        <w:gridCol w:w="2500"/>
        <w:gridCol w:w="1807"/>
        <w:gridCol w:w="1432"/>
      </w:tblGrid>
      <w:tr w:rsidR="002D1334" w:rsidRPr="00C8221B" w14:paraId="6A0874C3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8C6FB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Тема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6C10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Години</w:t>
            </w:r>
          </w:p>
          <w:p w14:paraId="5D5C9CB2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t>(лекції/</w:t>
            </w:r>
            <w:proofErr w:type="spellStart"/>
            <w:r w:rsidRPr="00C8221B">
              <w:t>лабо-раторні</w:t>
            </w:r>
            <w:proofErr w:type="spellEnd"/>
            <w:r w:rsidRPr="00C8221B">
              <w:t>/самостійно)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2E4F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Результати навчання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57C6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Завдання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4748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Оцінювання</w:t>
            </w:r>
          </w:p>
        </w:tc>
      </w:tr>
      <w:tr w:rsidR="002E2165" w:rsidRPr="00C8221B" w14:paraId="46D4CFAB" w14:textId="77777777" w:rsidTr="00F5226F">
        <w:trPr>
          <w:jc w:val="center"/>
        </w:trPr>
        <w:tc>
          <w:tcPr>
            <w:tcW w:w="9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5459" w14:textId="77777777" w:rsidR="002E2165" w:rsidRPr="00C8221B" w:rsidRDefault="002E2165" w:rsidP="005B4581">
            <w:pPr>
              <w:spacing w:after="100" w:afterAutospacing="1"/>
              <w:jc w:val="center"/>
            </w:pPr>
          </w:p>
        </w:tc>
      </w:tr>
      <w:tr w:rsidR="002E2165" w:rsidRPr="00C8221B" w14:paraId="5BA04D4B" w14:textId="77777777" w:rsidTr="00F5226F">
        <w:trPr>
          <w:jc w:val="center"/>
        </w:trPr>
        <w:tc>
          <w:tcPr>
            <w:tcW w:w="9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BE31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6 семестр</w:t>
            </w:r>
          </w:p>
        </w:tc>
      </w:tr>
      <w:tr w:rsidR="002E2165" w:rsidRPr="00C8221B" w14:paraId="448DDB0B" w14:textId="77777777" w:rsidTr="00F5226F">
        <w:trPr>
          <w:jc w:val="center"/>
        </w:trPr>
        <w:tc>
          <w:tcPr>
            <w:tcW w:w="9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1AE0" w14:textId="77777777" w:rsidR="002E2165" w:rsidRPr="00C8221B" w:rsidRDefault="002E2165" w:rsidP="005B4581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Модуль 1</w:t>
            </w:r>
          </w:p>
        </w:tc>
      </w:tr>
      <w:tr w:rsidR="002B51C3" w:rsidRPr="00C8221B" w14:paraId="6692D23F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FC68" w14:textId="77777777" w:rsidR="002B51C3" w:rsidRPr="00C8221B" w:rsidRDefault="002B51C3" w:rsidP="005B4581">
            <w:pPr>
              <w:spacing w:after="100" w:afterAutospacing="1"/>
            </w:pPr>
            <w:r w:rsidRPr="00C8221B">
              <w:rPr>
                <w:b/>
                <w:bCs/>
              </w:rPr>
              <w:t>Тема 1</w:t>
            </w:r>
          </w:p>
          <w:p w14:paraId="0697D93B" w14:textId="4A8CD405" w:rsidR="002B51C3" w:rsidRPr="00C8221B" w:rsidRDefault="002B51C3" w:rsidP="005B4581">
            <w:pPr>
              <w:spacing w:after="100" w:afterAutospacing="1"/>
            </w:pPr>
            <w:r w:rsidRPr="00C8221B">
              <w:t>Внутрішні хвороби та громадське здоров’я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6FCC" w14:textId="4795C044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t>2/2/</w:t>
            </w:r>
            <w:r w:rsidR="00A7194A">
              <w:t>12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E6DA" w14:textId="2B233A69" w:rsidR="00FD33CE" w:rsidRPr="009D7AF5" w:rsidRDefault="00124D2E" w:rsidP="00FD33CE">
            <w:r>
              <w:rPr>
                <w:lang w:val="x-none"/>
              </w:rPr>
              <w:t xml:space="preserve">Знати </w:t>
            </w:r>
            <w:r w:rsidR="009D7AF5">
              <w:t>роль</w:t>
            </w:r>
            <w:r>
              <w:rPr>
                <w:lang w:val="x-none"/>
              </w:rPr>
              <w:t xml:space="preserve"> внутрішньої медицини</w:t>
            </w:r>
            <w:r w:rsidR="009D7AF5">
              <w:t xml:space="preserve"> у системі охорони здоровʼя.</w:t>
            </w:r>
          </w:p>
          <w:p w14:paraId="564EA3E6" w14:textId="1836AE64" w:rsidR="002B51C3" w:rsidRPr="00124D2E" w:rsidRDefault="00124D2E" w:rsidP="00FD33CE">
            <w:r>
              <w:rPr>
                <w:lang w:val="x-none"/>
              </w:rPr>
              <w:t xml:space="preserve">Розуміти </w:t>
            </w:r>
            <w:proofErr w:type="spellStart"/>
            <w:r>
              <w:rPr>
                <w:lang w:val="x-none"/>
              </w:rPr>
              <w:t>взаємозв’язок</w:t>
            </w:r>
            <w:proofErr w:type="spellEnd"/>
            <w:r>
              <w:rPr>
                <w:lang w:val="x-none"/>
              </w:rPr>
              <w:t xml:space="preserve"> між внутрішньою медицину та громадським </w:t>
            </w:r>
            <w:proofErr w:type="spellStart"/>
            <w:r>
              <w:rPr>
                <w:lang w:val="x-none"/>
              </w:rPr>
              <w:t>здоров’ям</w:t>
            </w:r>
            <w:proofErr w:type="spellEnd"/>
            <w:r>
              <w:rPr>
                <w:lang w:val="x-none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55BF8C2" w14:textId="77777777" w:rsidR="00186DCE" w:rsidRPr="00C8221B" w:rsidRDefault="00186DCE" w:rsidP="005B4581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48894811" w14:textId="77777777" w:rsidR="00186DCE" w:rsidRPr="00C8221B" w:rsidRDefault="00186DCE" w:rsidP="005B4581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3CD536FB" w14:textId="77777777" w:rsidR="00186DCE" w:rsidRPr="00C8221B" w:rsidRDefault="00186DCE" w:rsidP="005B4581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71242F68" w14:textId="77777777" w:rsidR="00186DCE" w:rsidRPr="00C8221B" w:rsidRDefault="00186DCE" w:rsidP="005B4581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3735E34D" w14:textId="5AAB1A7E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rPr>
                <w:i/>
                <w:iCs/>
              </w:rPr>
              <w:t>Підготовка до лекцій</w:t>
            </w:r>
            <w:r w:rsidRPr="00C8221B">
              <w:t xml:space="preserve"> (попереднє ознайомлення з </w:t>
            </w:r>
            <w:r w:rsidRPr="00C8221B">
              <w:lastRenderedPageBreak/>
              <w:t xml:space="preserve">презентацією та лекцією в </w:t>
            </w:r>
            <w:proofErr w:type="spellStart"/>
            <w:r w:rsidRPr="00C8221B">
              <w:t>eLearn</w:t>
            </w:r>
            <w:proofErr w:type="spellEnd"/>
            <w:r w:rsidRPr="00C8221B">
              <w:t xml:space="preserve">). </w:t>
            </w:r>
          </w:p>
          <w:p w14:paraId="21952445" w14:textId="719D3637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rPr>
                <w:i/>
                <w:iCs/>
              </w:rPr>
              <w:t>Виконання та здача лабораторної роботи</w:t>
            </w:r>
            <w:r w:rsidRPr="00C8221B">
              <w:t xml:space="preserve"> (в методичних рекомендаціях та самостійно). </w:t>
            </w:r>
          </w:p>
          <w:p w14:paraId="54E902CD" w14:textId="0A1D5010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rPr>
                <w:i/>
                <w:iCs/>
              </w:rPr>
              <w:t>Виконання самостійної роботи</w:t>
            </w:r>
            <w:r w:rsidRPr="00C8221B">
              <w:t xml:space="preserve"> (завдання в методичних рекомендаціях та </w:t>
            </w:r>
            <w:proofErr w:type="spellStart"/>
            <w:r w:rsidRPr="00C8221B">
              <w:t>eLearn</w:t>
            </w:r>
            <w:proofErr w:type="spellEnd"/>
            <w:r w:rsidRPr="00C8221B">
              <w:t xml:space="preserve">). </w:t>
            </w:r>
          </w:p>
          <w:p w14:paraId="21F290A3" w14:textId="085235DD" w:rsidR="002B51C3" w:rsidRPr="00C8221B" w:rsidRDefault="002B51C3" w:rsidP="005B4581">
            <w:pPr>
              <w:spacing w:after="100" w:afterAutospacing="1"/>
              <w:jc w:val="center"/>
              <w:rPr>
                <w:lang w:val="ru-RU"/>
              </w:rPr>
            </w:pPr>
            <w:r w:rsidRPr="00C8221B">
              <w:rPr>
                <w:i/>
                <w:iCs/>
              </w:rPr>
              <w:t>Підготовка та написання модульної контрольної роботи</w:t>
            </w:r>
            <w:r w:rsidRPr="00C8221B">
              <w:t xml:space="preserve"> (тестова - в </w:t>
            </w:r>
            <w:proofErr w:type="spellStart"/>
            <w:r w:rsidRPr="00C8221B">
              <w:t>eLearn</w:t>
            </w:r>
            <w:proofErr w:type="spellEnd"/>
            <w:r w:rsidRPr="00C8221B">
              <w:t>).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A91F904" w14:textId="77777777" w:rsidR="002B51C3" w:rsidRPr="00C8221B" w:rsidRDefault="002B51C3" w:rsidP="003B0AF6">
            <w:pPr>
              <w:spacing w:after="100" w:afterAutospacing="1"/>
              <w:jc w:val="center"/>
            </w:pPr>
            <w:r w:rsidRPr="00C8221B">
              <w:lastRenderedPageBreak/>
              <w:t xml:space="preserve">Виконання та здача лабораторних робіт – зараховано. </w:t>
            </w:r>
          </w:p>
          <w:p w14:paraId="42DDE0B1" w14:textId="77777777" w:rsidR="002B51C3" w:rsidRPr="00C8221B" w:rsidRDefault="002B51C3" w:rsidP="003B0AF6">
            <w:pPr>
              <w:spacing w:after="100" w:afterAutospacing="1"/>
              <w:jc w:val="center"/>
            </w:pPr>
            <w:r w:rsidRPr="00C8221B">
              <w:t xml:space="preserve">Модульна тестова робота в </w:t>
            </w:r>
            <w:proofErr w:type="spellStart"/>
            <w:r w:rsidRPr="00C8221B">
              <w:t>eLearn</w:t>
            </w:r>
            <w:proofErr w:type="spellEnd"/>
            <w:r w:rsidRPr="00C8221B">
              <w:t xml:space="preserve">. </w:t>
            </w:r>
          </w:p>
          <w:p w14:paraId="1B53528E" w14:textId="1D0AD018" w:rsidR="002B51C3" w:rsidRPr="00C8221B" w:rsidRDefault="002B51C3" w:rsidP="003B0AF6">
            <w:pPr>
              <w:spacing w:after="100" w:afterAutospacing="1"/>
              <w:jc w:val="center"/>
            </w:pPr>
            <w:r w:rsidRPr="00C8221B">
              <w:lastRenderedPageBreak/>
              <w:t xml:space="preserve">Самостійна робота – згідно з журналом оцінювання в </w:t>
            </w:r>
            <w:proofErr w:type="spellStart"/>
            <w:r w:rsidRPr="00C8221B">
              <w:t>eLearn</w:t>
            </w:r>
            <w:proofErr w:type="spellEnd"/>
            <w:r w:rsidRPr="00C8221B">
              <w:t>.</w:t>
            </w:r>
          </w:p>
        </w:tc>
      </w:tr>
      <w:tr w:rsidR="002B51C3" w:rsidRPr="00C8221B" w14:paraId="6DE344FA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B1BA" w14:textId="77777777" w:rsidR="002B51C3" w:rsidRPr="00C8221B" w:rsidRDefault="002B51C3" w:rsidP="005B4581">
            <w:pPr>
              <w:spacing w:after="100" w:afterAutospacing="1"/>
            </w:pPr>
            <w:r w:rsidRPr="00C8221B">
              <w:rPr>
                <w:b/>
                <w:bCs/>
              </w:rPr>
              <w:t>Тема 2</w:t>
            </w:r>
          </w:p>
          <w:p w14:paraId="61E6E331" w14:textId="6ED34B1C" w:rsidR="002B51C3" w:rsidRPr="00C8221B" w:rsidRDefault="002B51C3" w:rsidP="00D47BEF">
            <w:pPr>
              <w:spacing w:after="100" w:afterAutospacing="1"/>
            </w:pPr>
            <w:r w:rsidRPr="00C8221B">
              <w:t xml:space="preserve">Фактори ризику </w:t>
            </w:r>
            <w:r w:rsidR="00EC4C64">
              <w:t xml:space="preserve">хронічних неінфекційних </w:t>
            </w:r>
            <w:r w:rsidRPr="00C8221B">
              <w:lastRenderedPageBreak/>
              <w:t>захворювань. Основи профілактики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6B899" w14:textId="5F396039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lastRenderedPageBreak/>
              <w:t>2/2/</w:t>
            </w:r>
            <w:r w:rsidR="00A7194A">
              <w:t>8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B1B5" w14:textId="114DBFD9" w:rsidR="002B51C3" w:rsidRPr="00DA7B2C" w:rsidRDefault="00DA7B2C" w:rsidP="002D1334">
            <w:r>
              <w:t>Знати класифікаці</w:t>
            </w:r>
            <w:r w:rsidR="00BE454D">
              <w:t>ю</w:t>
            </w:r>
            <w:r>
              <w:t xml:space="preserve"> факторів ризику</w:t>
            </w:r>
            <w:r w:rsidR="00BE454D">
              <w:rPr>
                <w:lang w:val="x-none"/>
              </w:rPr>
              <w:t xml:space="preserve"> хронічних неінфекційних захворювань.</w:t>
            </w:r>
            <w:r>
              <w:rPr>
                <w:lang w:val="x-none"/>
              </w:rPr>
              <w:t xml:space="preserve"> Розуміти </w:t>
            </w:r>
            <w:r>
              <w:rPr>
                <w:lang w:val="x-none"/>
              </w:rPr>
              <w:lastRenderedPageBreak/>
              <w:t xml:space="preserve">роль фахівців громадського </w:t>
            </w:r>
            <w:proofErr w:type="spellStart"/>
            <w:r>
              <w:rPr>
                <w:lang w:val="x-none"/>
              </w:rPr>
              <w:t>здоров’я</w:t>
            </w:r>
            <w:proofErr w:type="spellEnd"/>
            <w:r>
              <w:rPr>
                <w:lang w:val="x-none"/>
              </w:rPr>
              <w:t xml:space="preserve"> у забезпеченні первинної профілакт</w:t>
            </w:r>
            <w:r w:rsidR="00BE454D">
              <w:t>ики</w:t>
            </w:r>
            <w:r>
              <w:rPr>
                <w:lang w:val="x-none"/>
              </w:rPr>
              <w:t xml:space="preserve">         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322246C" w14:textId="68590B47" w:rsidR="002B51C3" w:rsidRPr="00C8221B" w:rsidRDefault="002B51C3" w:rsidP="005B4581">
            <w:pPr>
              <w:spacing w:after="100" w:afterAutospacing="1"/>
              <w:jc w:val="center"/>
              <w:rPr>
                <w:lang w:val="ru-RU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438C0687" w14:textId="20935FA3" w:rsidR="002B51C3" w:rsidRPr="00C8221B" w:rsidRDefault="002B51C3" w:rsidP="005B4581">
            <w:pPr>
              <w:spacing w:after="100" w:afterAutospacing="1"/>
              <w:jc w:val="center"/>
            </w:pPr>
          </w:p>
        </w:tc>
      </w:tr>
      <w:tr w:rsidR="002B51C3" w:rsidRPr="00C8221B" w14:paraId="68BBD79A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2627" w14:textId="77777777" w:rsidR="002B51C3" w:rsidRPr="00C8221B" w:rsidRDefault="002B51C3" w:rsidP="005B4581">
            <w:pPr>
              <w:spacing w:after="100" w:afterAutospacing="1"/>
            </w:pPr>
            <w:r w:rsidRPr="00C8221B">
              <w:rPr>
                <w:b/>
                <w:bCs/>
              </w:rPr>
              <w:t>Тема 3</w:t>
            </w:r>
          </w:p>
          <w:p w14:paraId="45F67F68" w14:textId="40311070" w:rsidR="002B51C3" w:rsidRPr="00C8221B" w:rsidRDefault="002B51C3" w:rsidP="005B4581">
            <w:pPr>
              <w:spacing w:after="100" w:afterAutospacing="1"/>
            </w:pPr>
            <w:r w:rsidRPr="00C8221B">
              <w:t>Основи доказової медицини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9F6F" w14:textId="64AF8718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t>2/2/</w:t>
            </w:r>
            <w:r w:rsidR="00680473"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B3951" w14:textId="01517508" w:rsidR="002044BD" w:rsidRPr="005D1874" w:rsidRDefault="002044BD" w:rsidP="00A710B4">
            <w:r>
              <w:rPr>
                <w:lang w:val="x-none"/>
              </w:rPr>
              <w:t xml:space="preserve">Знати основні принципи доказової медицини. </w:t>
            </w:r>
            <w:r w:rsidR="005D1874">
              <w:rPr>
                <w:lang w:val="x-none"/>
              </w:rPr>
              <w:t xml:space="preserve">Вміти </w:t>
            </w:r>
            <w:r w:rsidR="00680473">
              <w:t xml:space="preserve">обґрунтовувати </w:t>
            </w:r>
            <w:r w:rsidR="005D1874">
              <w:rPr>
                <w:lang w:val="x-none"/>
              </w:rPr>
              <w:t>розроблені</w:t>
            </w:r>
            <w:r w:rsidR="005D1874">
              <w:t xml:space="preserve"> рішення </w:t>
            </w:r>
            <w:r w:rsidR="005D1874">
              <w:rPr>
                <w:lang w:val="x-none"/>
              </w:rPr>
              <w:t xml:space="preserve">на основі принципів доказової медицини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742CA04" w14:textId="7D9CB092" w:rsidR="002B51C3" w:rsidRPr="00C8221B" w:rsidRDefault="002B51C3" w:rsidP="005B4581">
            <w:pPr>
              <w:spacing w:after="100" w:afterAutospacing="1"/>
              <w:jc w:val="center"/>
              <w:rPr>
                <w:lang w:val="ru-RU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84CE360" w14:textId="49857E2F" w:rsidR="002B51C3" w:rsidRPr="00C8221B" w:rsidRDefault="002B51C3" w:rsidP="005B4581">
            <w:pPr>
              <w:spacing w:after="100" w:afterAutospacing="1"/>
              <w:jc w:val="center"/>
            </w:pPr>
          </w:p>
        </w:tc>
      </w:tr>
      <w:tr w:rsidR="002B51C3" w:rsidRPr="00C8221B" w14:paraId="46FBF1B7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81864" w14:textId="77777777" w:rsidR="002B51C3" w:rsidRPr="00C8221B" w:rsidRDefault="002B51C3" w:rsidP="005B0129">
            <w:pPr>
              <w:spacing w:after="100" w:afterAutospacing="1"/>
            </w:pPr>
            <w:r w:rsidRPr="00C8221B">
              <w:rPr>
                <w:b/>
                <w:bCs/>
              </w:rPr>
              <w:t>Тема 4</w:t>
            </w:r>
          </w:p>
          <w:p w14:paraId="451FEB06" w14:textId="4E073517" w:rsidR="002B51C3" w:rsidRPr="00C8221B" w:rsidRDefault="002B51C3" w:rsidP="005B4581">
            <w:pPr>
              <w:spacing w:after="100" w:afterAutospacing="1"/>
            </w:pPr>
            <w:r w:rsidRPr="00C8221B">
              <w:t xml:space="preserve">Епідеміологія і профілактика серцево-судинних захворювань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810A1" w14:textId="74F5B599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t>2/2/</w:t>
            </w:r>
            <w:r w:rsidR="002B1082">
              <w:t>12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AAAAC" w14:textId="29F06EFD" w:rsidR="002B51C3" w:rsidRPr="00C8221B" w:rsidRDefault="00FC2607" w:rsidP="002D1334">
            <w:r>
              <w:t xml:space="preserve">Знати </w:t>
            </w:r>
            <w:r>
              <w:rPr>
                <w:lang w:val="x-none"/>
              </w:rPr>
              <w:t>найпоширеніш</w:t>
            </w:r>
            <w:r>
              <w:t>і</w:t>
            </w:r>
            <w:r>
              <w:rPr>
                <w:lang w:val="x-none"/>
              </w:rPr>
              <w:t xml:space="preserve"> захворювання серцево-судинної системи.</w:t>
            </w:r>
          </w:p>
          <w:p w14:paraId="22F2ED52" w14:textId="20842806" w:rsidR="002B51C3" w:rsidRPr="00A710B4" w:rsidRDefault="004006BE" w:rsidP="002D1334">
            <w:r>
              <w:t xml:space="preserve">Розуміти особливості </w:t>
            </w:r>
            <w:r w:rsidR="00A710B4">
              <w:rPr>
                <w:lang w:val="x-none"/>
              </w:rPr>
              <w:t xml:space="preserve">профілактики серцево-судинних захворювань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872DF1" w14:textId="01D0D38C" w:rsidR="002B51C3" w:rsidRPr="00C8221B" w:rsidRDefault="002B51C3" w:rsidP="005B4581">
            <w:pPr>
              <w:spacing w:after="100" w:afterAutospacing="1"/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FA5782" w14:textId="75018FF2" w:rsidR="002B51C3" w:rsidRPr="00C8221B" w:rsidRDefault="002B51C3" w:rsidP="005B4581">
            <w:pPr>
              <w:spacing w:after="100" w:afterAutospacing="1"/>
              <w:jc w:val="center"/>
            </w:pPr>
          </w:p>
        </w:tc>
      </w:tr>
      <w:tr w:rsidR="002B51C3" w:rsidRPr="00C8221B" w14:paraId="382C8A9E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B2735" w14:textId="0BE6E180" w:rsidR="002B51C3" w:rsidRPr="00C8221B" w:rsidRDefault="002B51C3" w:rsidP="005B4581">
            <w:pPr>
              <w:spacing w:after="100" w:afterAutospacing="1"/>
            </w:pPr>
            <w:r w:rsidRPr="00C8221B">
              <w:rPr>
                <w:b/>
                <w:bCs/>
              </w:rPr>
              <w:t>Тема 5</w:t>
            </w:r>
          </w:p>
          <w:p w14:paraId="232BE430" w14:textId="16109F80" w:rsidR="002B51C3" w:rsidRPr="00C8221B" w:rsidRDefault="002B51C3" w:rsidP="005B4581">
            <w:pPr>
              <w:spacing w:after="100" w:afterAutospacing="1"/>
            </w:pPr>
            <w:r w:rsidRPr="00C8221B">
              <w:t>Хронічне обструктивне захворювання легень і астма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C74C" w14:textId="4530D1B7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t>2/2/</w:t>
            </w:r>
            <w:r w:rsidR="00971C3D"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A1DA" w14:textId="61BC681B" w:rsidR="002B51C3" w:rsidRPr="00C8221B" w:rsidRDefault="002B51C3" w:rsidP="002D1334">
            <w:r w:rsidRPr="00C8221B">
              <w:t>Знати: дослідницьку етику, принципи запобігання плагіату, фальсифікацій та корупційних дій.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FD4E99C" w14:textId="3FF05B85" w:rsidR="002B51C3" w:rsidRPr="00C8221B" w:rsidRDefault="002B51C3" w:rsidP="005B4581">
            <w:pPr>
              <w:spacing w:after="100" w:afterAutospacing="1"/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414AC8D" w14:textId="4D4F6A65" w:rsidR="002B51C3" w:rsidRPr="00C8221B" w:rsidRDefault="002B51C3" w:rsidP="005B4581">
            <w:pPr>
              <w:spacing w:after="100" w:afterAutospacing="1"/>
              <w:jc w:val="center"/>
            </w:pPr>
          </w:p>
        </w:tc>
      </w:tr>
      <w:tr w:rsidR="002B51C3" w:rsidRPr="00C8221B" w14:paraId="0A8CC099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E2D9" w14:textId="77777777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t>Тема 6</w:t>
            </w:r>
          </w:p>
          <w:p w14:paraId="68CB7027" w14:textId="776D69A0" w:rsidR="002B51C3" w:rsidRPr="00C8221B" w:rsidRDefault="002B51C3" w:rsidP="005B4581">
            <w:pPr>
              <w:spacing w:after="100" w:afterAutospacing="1"/>
            </w:pPr>
            <w:r w:rsidRPr="00C8221B">
              <w:t>Хронічні гепатити та інші хвороби печінки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A842C" w14:textId="7198DF2E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t>2/2/</w:t>
            </w:r>
            <w:r w:rsidR="002A2202"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7D6D" w14:textId="7712B06F" w:rsidR="002B51C3" w:rsidRPr="002A2202" w:rsidRDefault="002A2202" w:rsidP="00B322C2">
            <w:pPr>
              <w:spacing w:after="100" w:afterAutospacing="1"/>
            </w:pPr>
            <w:r>
              <w:rPr>
                <w:lang w:val="x-none"/>
              </w:rPr>
              <w:t xml:space="preserve">Знати етіологію та фактори ризику хронічних вірусних гепатитів. Розуміти основні принципи профілактики хронічних вірусних гепатитів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7519895" w14:textId="69100D53" w:rsidR="002B51C3" w:rsidRPr="00C8221B" w:rsidRDefault="002B51C3" w:rsidP="005B4581">
            <w:pPr>
              <w:spacing w:after="100" w:afterAutospacing="1"/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057921B" w14:textId="356E40E5" w:rsidR="002B51C3" w:rsidRPr="00C8221B" w:rsidRDefault="002B51C3" w:rsidP="005B4581">
            <w:pPr>
              <w:spacing w:after="100" w:afterAutospacing="1"/>
              <w:jc w:val="center"/>
            </w:pPr>
          </w:p>
        </w:tc>
      </w:tr>
      <w:tr w:rsidR="002B51C3" w:rsidRPr="00C8221B" w14:paraId="55410ADA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57359" w14:textId="77777777" w:rsidR="002B51C3" w:rsidRPr="00C8221B" w:rsidRDefault="002B51C3" w:rsidP="00D64464">
            <w:pPr>
              <w:spacing w:after="100" w:afterAutospacing="1"/>
              <w:rPr>
                <w:b/>
              </w:rPr>
            </w:pPr>
            <w:r w:rsidRPr="00C8221B">
              <w:rPr>
                <w:b/>
              </w:rPr>
              <w:t>Тема 7.</w:t>
            </w:r>
          </w:p>
          <w:p w14:paraId="63B43B0E" w14:textId="3626F4ED" w:rsidR="002B51C3" w:rsidRPr="00C8221B" w:rsidRDefault="002B51C3" w:rsidP="00D64464">
            <w:pPr>
              <w:spacing w:after="100" w:afterAutospacing="1"/>
              <w:rPr>
                <w:b/>
                <w:bCs/>
              </w:rPr>
            </w:pPr>
            <w:r w:rsidRPr="00C8221B">
              <w:rPr>
                <w:bCs/>
              </w:rPr>
              <w:t>Цукровий діабет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A7423" w14:textId="526D7EE1" w:rsidR="002B51C3" w:rsidRPr="00C8221B" w:rsidRDefault="002B51C3" w:rsidP="005B4581">
            <w:pPr>
              <w:spacing w:after="100" w:afterAutospacing="1"/>
              <w:jc w:val="center"/>
            </w:pPr>
            <w:r w:rsidRPr="00C8221B">
              <w:t>2/2/</w:t>
            </w:r>
            <w:r w:rsidR="002A2202"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61359" w14:textId="1D05593B" w:rsidR="002B51C3" w:rsidRPr="00B322C2" w:rsidRDefault="00A53374" w:rsidP="00700812">
            <w:pPr>
              <w:spacing w:after="100" w:afterAutospacing="1"/>
            </w:pPr>
            <w:r>
              <w:rPr>
                <w:lang w:val="x-none"/>
              </w:rPr>
              <w:t xml:space="preserve">Знати фактори ризику цукрового діабету 2 типу. Розуміти основи профілактики цукрового діабету 2 типу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0EC64" w14:textId="77777777" w:rsidR="002B51C3" w:rsidRPr="00C8221B" w:rsidRDefault="002B51C3" w:rsidP="005B4581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96E80" w14:textId="77777777" w:rsidR="002B51C3" w:rsidRPr="00C8221B" w:rsidRDefault="002B51C3" w:rsidP="005B4581">
            <w:pPr>
              <w:spacing w:after="100" w:afterAutospacing="1"/>
              <w:jc w:val="center"/>
            </w:pPr>
          </w:p>
        </w:tc>
      </w:tr>
      <w:tr w:rsidR="00D64464" w:rsidRPr="00C8221B" w14:paraId="284CDAEE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5B47C" w14:textId="53814336" w:rsidR="00D64464" w:rsidRPr="00C8221B" w:rsidRDefault="00D64464" w:rsidP="00D64464">
            <w:pPr>
              <w:spacing w:after="100" w:afterAutospacing="1"/>
              <w:rPr>
                <w:b/>
                <w:bCs/>
              </w:rPr>
            </w:pPr>
            <w:r w:rsidRPr="00C8221B">
              <w:rPr>
                <w:b/>
                <w:bCs/>
              </w:rPr>
              <w:t>Всього за модуль 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9BD01" w14:textId="4BEF868C" w:rsidR="00D64464" w:rsidRPr="00C8221B" w:rsidRDefault="002B51C3" w:rsidP="00D64464">
            <w:pPr>
              <w:spacing w:after="100" w:afterAutospacing="1"/>
              <w:jc w:val="center"/>
              <w:rPr>
                <w:b/>
                <w:bCs/>
              </w:rPr>
            </w:pPr>
            <w:r w:rsidRPr="00C8221B">
              <w:rPr>
                <w:b/>
                <w:bCs/>
              </w:rPr>
              <w:t>14</w:t>
            </w:r>
            <w:r w:rsidR="00D64464" w:rsidRPr="00C8221B">
              <w:rPr>
                <w:b/>
                <w:bCs/>
              </w:rPr>
              <w:t>/1</w:t>
            </w:r>
            <w:r w:rsidRPr="00C8221B">
              <w:rPr>
                <w:b/>
                <w:bCs/>
              </w:rPr>
              <w:t>4</w:t>
            </w:r>
            <w:r w:rsidR="00D64464" w:rsidRPr="00C8221B">
              <w:rPr>
                <w:b/>
                <w:bCs/>
              </w:rPr>
              <w:t>/</w:t>
            </w:r>
            <w:r w:rsidR="00FD3577">
              <w:rPr>
                <w:b/>
                <w:bCs/>
              </w:rPr>
              <w:t>48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4C5E5" w14:textId="77777777" w:rsidR="00D64464" w:rsidRPr="00C8221B" w:rsidRDefault="00D64464" w:rsidP="00D64464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F02F" w14:textId="77777777" w:rsidR="00D64464" w:rsidRPr="00C8221B" w:rsidRDefault="00D64464" w:rsidP="00D64464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F6A5" w14:textId="77777777" w:rsidR="00D64464" w:rsidRPr="00C8221B" w:rsidRDefault="00D64464" w:rsidP="00D64464">
            <w:pPr>
              <w:spacing w:after="100" w:afterAutospacing="1"/>
              <w:jc w:val="center"/>
            </w:pPr>
          </w:p>
        </w:tc>
      </w:tr>
      <w:tr w:rsidR="00D64464" w:rsidRPr="00C8221B" w14:paraId="318880E0" w14:textId="77777777" w:rsidTr="00F5226F">
        <w:trPr>
          <w:jc w:val="center"/>
        </w:trPr>
        <w:tc>
          <w:tcPr>
            <w:tcW w:w="9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5631" w14:textId="77777777" w:rsidR="00D64464" w:rsidRPr="00C8221B" w:rsidRDefault="00D64464" w:rsidP="00D64464">
            <w:pPr>
              <w:spacing w:after="100" w:afterAutospacing="1"/>
              <w:jc w:val="center"/>
              <w:rPr>
                <w:lang w:val="en-US"/>
              </w:rPr>
            </w:pPr>
            <w:r w:rsidRPr="00C8221B">
              <w:rPr>
                <w:b/>
                <w:bCs/>
              </w:rPr>
              <w:t xml:space="preserve">Модуль </w:t>
            </w:r>
            <w:r w:rsidRPr="00C8221B">
              <w:rPr>
                <w:b/>
                <w:bCs/>
                <w:lang w:val="en-US"/>
              </w:rPr>
              <w:t>2</w:t>
            </w:r>
          </w:p>
        </w:tc>
      </w:tr>
      <w:tr w:rsidR="002B51C3" w:rsidRPr="00C8221B" w14:paraId="6E1EA3A7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DA81" w14:textId="20C11125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t>Тема 8.</w:t>
            </w:r>
          </w:p>
          <w:p w14:paraId="06FF6B7F" w14:textId="2EE37D16" w:rsidR="002B51C3" w:rsidRPr="00C8221B" w:rsidRDefault="002B51C3" w:rsidP="00D64464">
            <w:pPr>
              <w:spacing w:after="100" w:afterAutospacing="1"/>
            </w:pPr>
            <w:r w:rsidRPr="00C8221B">
              <w:t>Порушення опорно-рухового апарату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9871" w14:textId="7FB60732" w:rsidR="002B51C3" w:rsidRPr="00994C0D" w:rsidRDefault="002B51C3" w:rsidP="00D64464">
            <w:pPr>
              <w:spacing w:after="100" w:afterAutospacing="1"/>
              <w:jc w:val="center"/>
            </w:pPr>
            <w:r w:rsidRPr="00C8221B">
              <w:t>2/2</w:t>
            </w:r>
            <w:r w:rsidRPr="00C8221B">
              <w:rPr>
                <w:lang w:val="en-US"/>
              </w:rPr>
              <w:t>/</w:t>
            </w:r>
            <w:r w:rsidR="00994C0D"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3EE76" w14:textId="6AB4AC5F" w:rsidR="002B51C3" w:rsidRPr="00A07C78" w:rsidRDefault="002B51C3" w:rsidP="00D64464">
            <w:pPr>
              <w:spacing w:after="100" w:afterAutospacing="1"/>
            </w:pPr>
            <w:r w:rsidRPr="00C8221B">
              <w:t xml:space="preserve">Знати основні </w:t>
            </w:r>
            <w:r w:rsidR="00C37ACB">
              <w:t xml:space="preserve">захворювання </w:t>
            </w:r>
            <w:r w:rsidR="00C37ACB">
              <w:rPr>
                <w:lang w:val="x-none"/>
              </w:rPr>
              <w:t>опорно-рухового апарату.</w:t>
            </w:r>
            <w:r w:rsidR="00555B01">
              <w:t xml:space="preserve">  </w:t>
            </w:r>
            <w:r w:rsidR="00E929B0">
              <w:rPr>
                <w:lang w:val="x-none"/>
              </w:rPr>
              <w:t xml:space="preserve">Розуміти наслідки цих захворювань для суспільства </w:t>
            </w: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0A633AB" w14:textId="77777777" w:rsidR="00186DCE" w:rsidRPr="00C8221B" w:rsidRDefault="00186DCE" w:rsidP="002B51C3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42F8BB83" w14:textId="77777777" w:rsidR="00186DCE" w:rsidRPr="00C8221B" w:rsidRDefault="00186DCE" w:rsidP="002B51C3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032FBF07" w14:textId="77777777" w:rsidR="00186DCE" w:rsidRPr="00C8221B" w:rsidRDefault="00186DCE" w:rsidP="002B51C3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39BBF79F" w14:textId="77777777" w:rsidR="00186DCE" w:rsidRPr="00C8221B" w:rsidRDefault="00186DCE" w:rsidP="002B51C3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4CFAA345" w14:textId="77777777" w:rsidR="00186DCE" w:rsidRPr="00C8221B" w:rsidRDefault="00186DCE" w:rsidP="002B51C3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7E276691" w14:textId="77777777" w:rsidR="00186DCE" w:rsidRPr="00C8221B" w:rsidRDefault="00186DCE" w:rsidP="002B51C3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5C126C92" w14:textId="77777777" w:rsidR="00186DCE" w:rsidRPr="00C8221B" w:rsidRDefault="00186DCE" w:rsidP="002B51C3">
            <w:pPr>
              <w:spacing w:after="100" w:afterAutospacing="1"/>
              <w:jc w:val="center"/>
              <w:rPr>
                <w:i/>
                <w:iCs/>
              </w:rPr>
            </w:pPr>
          </w:p>
          <w:p w14:paraId="4FCACFFA" w14:textId="4896CBBA" w:rsidR="002B51C3" w:rsidRPr="00C8221B" w:rsidRDefault="002B51C3" w:rsidP="002B51C3">
            <w:pPr>
              <w:spacing w:after="100" w:afterAutospacing="1"/>
              <w:jc w:val="center"/>
            </w:pPr>
            <w:r w:rsidRPr="00C8221B">
              <w:rPr>
                <w:i/>
                <w:iCs/>
              </w:rPr>
              <w:t>Підготовка до лекцій</w:t>
            </w:r>
            <w:r w:rsidRPr="00C8221B">
              <w:t xml:space="preserve"> (попереднє ознайомлення з презентацією та лекцією в </w:t>
            </w:r>
            <w:proofErr w:type="spellStart"/>
            <w:r w:rsidRPr="00C8221B">
              <w:t>eLearn</w:t>
            </w:r>
            <w:proofErr w:type="spellEnd"/>
            <w:r w:rsidRPr="00C8221B">
              <w:t xml:space="preserve">). </w:t>
            </w:r>
          </w:p>
          <w:p w14:paraId="32999C50" w14:textId="77777777" w:rsidR="002B51C3" w:rsidRPr="00C8221B" w:rsidRDefault="002B51C3" w:rsidP="002B51C3">
            <w:pPr>
              <w:spacing w:after="100" w:afterAutospacing="1"/>
              <w:jc w:val="center"/>
            </w:pPr>
            <w:r w:rsidRPr="00C8221B">
              <w:rPr>
                <w:i/>
                <w:iCs/>
              </w:rPr>
              <w:t>Виконання та здача лабораторної роботи</w:t>
            </w:r>
            <w:r w:rsidRPr="00C8221B">
              <w:t xml:space="preserve"> (в методичних рекомендаціях та самостійно). </w:t>
            </w:r>
          </w:p>
          <w:p w14:paraId="4A0E7185" w14:textId="77777777" w:rsidR="002B51C3" w:rsidRPr="00C8221B" w:rsidRDefault="002B51C3" w:rsidP="002B51C3">
            <w:pPr>
              <w:spacing w:after="100" w:afterAutospacing="1"/>
              <w:jc w:val="center"/>
            </w:pPr>
            <w:r w:rsidRPr="00C8221B">
              <w:rPr>
                <w:i/>
                <w:iCs/>
              </w:rPr>
              <w:t>Виконання самостійної роботи</w:t>
            </w:r>
            <w:r w:rsidRPr="00C8221B">
              <w:t xml:space="preserve"> (завдання в методичних рекомендаціях та </w:t>
            </w:r>
            <w:proofErr w:type="spellStart"/>
            <w:r w:rsidRPr="00C8221B">
              <w:t>eLearn</w:t>
            </w:r>
            <w:proofErr w:type="spellEnd"/>
            <w:r w:rsidRPr="00C8221B">
              <w:t xml:space="preserve">). </w:t>
            </w:r>
          </w:p>
          <w:p w14:paraId="7BFFDC50" w14:textId="2725C798" w:rsidR="002B51C3" w:rsidRPr="00C8221B" w:rsidRDefault="002B51C3" w:rsidP="002B51C3">
            <w:pPr>
              <w:jc w:val="center"/>
            </w:pPr>
            <w:r w:rsidRPr="00C8221B">
              <w:rPr>
                <w:i/>
                <w:iCs/>
              </w:rPr>
              <w:t>Підготовка та написання модульної контрольної роботи</w:t>
            </w:r>
            <w:r w:rsidRPr="00C8221B">
              <w:t xml:space="preserve"> (тестова - в </w:t>
            </w:r>
            <w:proofErr w:type="spellStart"/>
            <w:r w:rsidRPr="00C8221B">
              <w:t>eLearn</w:t>
            </w:r>
            <w:proofErr w:type="spellEnd"/>
            <w:r w:rsidRPr="00C8221B">
              <w:t>).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CCE5CF8" w14:textId="77777777" w:rsidR="002B51C3" w:rsidRPr="00C8221B" w:rsidRDefault="002B51C3" w:rsidP="002B51C3">
            <w:pPr>
              <w:spacing w:after="100" w:afterAutospacing="1"/>
              <w:jc w:val="center"/>
            </w:pPr>
            <w:r w:rsidRPr="00C8221B">
              <w:lastRenderedPageBreak/>
              <w:t xml:space="preserve">Виконання та здача лабораторних робіт – зараховано. </w:t>
            </w:r>
          </w:p>
          <w:p w14:paraId="53D17D32" w14:textId="77777777" w:rsidR="002B51C3" w:rsidRPr="00C8221B" w:rsidRDefault="002B51C3" w:rsidP="002B51C3">
            <w:pPr>
              <w:spacing w:after="100" w:afterAutospacing="1"/>
              <w:jc w:val="center"/>
            </w:pPr>
            <w:r w:rsidRPr="00C8221B">
              <w:t xml:space="preserve">Модульна тестова робота в </w:t>
            </w:r>
            <w:proofErr w:type="spellStart"/>
            <w:r w:rsidRPr="00C8221B">
              <w:t>eLearn</w:t>
            </w:r>
            <w:proofErr w:type="spellEnd"/>
            <w:r w:rsidRPr="00C8221B">
              <w:t xml:space="preserve">. </w:t>
            </w:r>
          </w:p>
          <w:p w14:paraId="4DF2032D" w14:textId="26BCBE9B" w:rsidR="002B51C3" w:rsidRPr="00C8221B" w:rsidRDefault="002B51C3" w:rsidP="002B51C3">
            <w:pPr>
              <w:spacing w:after="100" w:afterAutospacing="1"/>
              <w:jc w:val="center"/>
            </w:pPr>
            <w:r w:rsidRPr="00C8221B">
              <w:lastRenderedPageBreak/>
              <w:t xml:space="preserve">Самостійна робота – згідно з журналом оцінювання в </w:t>
            </w:r>
            <w:proofErr w:type="spellStart"/>
            <w:r w:rsidRPr="00C8221B">
              <w:t>eLearn</w:t>
            </w:r>
            <w:proofErr w:type="spellEnd"/>
            <w:r w:rsidRPr="00C8221B">
              <w:t>.</w:t>
            </w:r>
          </w:p>
          <w:p w14:paraId="7487E6EB" w14:textId="77777777" w:rsidR="002B51C3" w:rsidRPr="00C8221B" w:rsidRDefault="002B51C3" w:rsidP="00D64464">
            <w:pPr>
              <w:spacing w:after="100" w:afterAutospacing="1"/>
              <w:jc w:val="center"/>
            </w:pPr>
          </w:p>
          <w:p w14:paraId="110D6D42" w14:textId="77777777" w:rsidR="002B51C3" w:rsidRPr="00C8221B" w:rsidRDefault="002B51C3" w:rsidP="00D64464">
            <w:pPr>
              <w:spacing w:after="100" w:afterAutospacing="1"/>
              <w:jc w:val="center"/>
            </w:pPr>
          </w:p>
          <w:p w14:paraId="6B4DD47E" w14:textId="77777777" w:rsidR="002B51C3" w:rsidRPr="00C8221B" w:rsidRDefault="002B51C3" w:rsidP="00D64464">
            <w:pPr>
              <w:spacing w:after="100" w:afterAutospacing="1"/>
              <w:jc w:val="center"/>
            </w:pPr>
          </w:p>
          <w:p w14:paraId="11E963B6" w14:textId="77777777" w:rsidR="002B51C3" w:rsidRPr="00C8221B" w:rsidRDefault="002B51C3" w:rsidP="00D64464">
            <w:pPr>
              <w:spacing w:after="100" w:afterAutospacing="1"/>
              <w:jc w:val="center"/>
            </w:pPr>
          </w:p>
          <w:p w14:paraId="25AF4977" w14:textId="77777777" w:rsidR="002B51C3" w:rsidRPr="00C8221B" w:rsidRDefault="002B51C3" w:rsidP="00D64464">
            <w:pPr>
              <w:spacing w:after="100" w:afterAutospacing="1"/>
              <w:jc w:val="center"/>
            </w:pPr>
          </w:p>
          <w:p w14:paraId="790ACFD7" w14:textId="77777777" w:rsidR="002B51C3" w:rsidRPr="00C8221B" w:rsidRDefault="002B51C3" w:rsidP="00D64464">
            <w:pPr>
              <w:spacing w:after="100" w:afterAutospacing="1"/>
              <w:jc w:val="center"/>
            </w:pPr>
          </w:p>
          <w:p w14:paraId="2245D424" w14:textId="77777777" w:rsidR="002B51C3" w:rsidRPr="00C8221B" w:rsidRDefault="002B51C3" w:rsidP="00D64464">
            <w:pPr>
              <w:spacing w:after="100" w:afterAutospacing="1"/>
              <w:jc w:val="center"/>
            </w:pPr>
          </w:p>
          <w:p w14:paraId="2D674714" w14:textId="1F8A79CA" w:rsidR="002B51C3" w:rsidRPr="00C8221B" w:rsidRDefault="002B51C3" w:rsidP="00D64464">
            <w:pPr>
              <w:spacing w:after="100" w:afterAutospacing="1"/>
              <w:rPr>
                <w:lang w:val="ru-RU"/>
              </w:rPr>
            </w:pPr>
          </w:p>
        </w:tc>
      </w:tr>
      <w:tr w:rsidR="002B51C3" w:rsidRPr="00C8221B" w14:paraId="3E1D533C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93242" w14:textId="275C7353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t>Тема 9.</w:t>
            </w:r>
          </w:p>
          <w:p w14:paraId="4C89D9BB" w14:textId="422EAB2D" w:rsidR="002B51C3" w:rsidRPr="00C8221B" w:rsidRDefault="002B51C3" w:rsidP="00D64464">
            <w:pPr>
              <w:spacing w:after="100" w:afterAutospacing="1"/>
            </w:pPr>
            <w:r w:rsidRPr="00C8221B">
              <w:t>Ожиріння та його наслідки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2A6E9" w14:textId="3217D156" w:rsidR="002B51C3" w:rsidRPr="00C8221B" w:rsidRDefault="002B51C3" w:rsidP="00D64464">
            <w:pPr>
              <w:spacing w:after="100" w:afterAutospacing="1"/>
              <w:jc w:val="center"/>
            </w:pPr>
            <w:r w:rsidRPr="00C8221B">
              <w:t>2/2/</w:t>
            </w:r>
            <w:r w:rsidR="00E24608"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1987" w14:textId="68F8B2C1" w:rsidR="002B51C3" w:rsidRPr="00C8221B" w:rsidRDefault="00917B17" w:rsidP="00D64464">
            <w:pPr>
              <w:spacing w:after="100" w:afterAutospacing="1"/>
            </w:pPr>
            <w:r>
              <w:rPr>
                <w:lang w:val="x-none"/>
              </w:rPr>
              <w:t xml:space="preserve">Розуміти причини поширеності ожиріння серед населення. </w:t>
            </w:r>
            <w:r w:rsidR="002B51C3" w:rsidRPr="00C8221B">
              <w:t xml:space="preserve">Знати </w:t>
            </w:r>
            <w:r w:rsidR="007007AD">
              <w:t xml:space="preserve">принципи </w:t>
            </w:r>
            <w:r w:rsidR="00870CF1">
              <w:t xml:space="preserve">профілактики </w:t>
            </w:r>
            <w:r w:rsidR="007007AD">
              <w:t xml:space="preserve">ожиріння та надмірної ваги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3322491" w14:textId="48E7CD45" w:rsidR="002B51C3" w:rsidRPr="00C8221B" w:rsidRDefault="002B51C3" w:rsidP="00D64464">
            <w:pPr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7F85D39" w14:textId="2EE2FC41" w:rsidR="002B51C3" w:rsidRPr="00C8221B" w:rsidRDefault="002B51C3" w:rsidP="00D64464">
            <w:pPr>
              <w:spacing w:after="100" w:afterAutospacing="1"/>
            </w:pPr>
          </w:p>
        </w:tc>
      </w:tr>
      <w:tr w:rsidR="002B51C3" w:rsidRPr="00C8221B" w14:paraId="7DBCB5FD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F047C" w14:textId="5D75EF33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lastRenderedPageBreak/>
              <w:t>Тема 10.</w:t>
            </w:r>
          </w:p>
          <w:p w14:paraId="092BBACE" w14:textId="6121917B" w:rsidR="002B51C3" w:rsidRPr="00C8221B" w:rsidRDefault="002B51C3" w:rsidP="00D64464">
            <w:pPr>
              <w:spacing w:after="100" w:afterAutospacing="1"/>
            </w:pPr>
            <w:r w:rsidRPr="00C8221B">
              <w:t xml:space="preserve">Неврологічні захворювання, епідеміологія і громадське </w:t>
            </w:r>
            <w:proofErr w:type="spellStart"/>
            <w:r w:rsidRPr="00C8221B">
              <w:t>здоров’я</w:t>
            </w:r>
            <w:proofErr w:type="spell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1553" w14:textId="735B8FA7" w:rsidR="002B51C3" w:rsidRPr="00C8221B" w:rsidRDefault="002B51C3" w:rsidP="00D64464">
            <w:pPr>
              <w:spacing w:after="100" w:afterAutospacing="1"/>
              <w:jc w:val="center"/>
            </w:pPr>
            <w:r w:rsidRPr="00C8221B">
              <w:t>2/2/4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FC9A" w14:textId="7FD65A19" w:rsidR="002B51C3" w:rsidRPr="00983F36" w:rsidRDefault="00983F36" w:rsidP="00D64464">
            <w:pPr>
              <w:spacing w:after="100" w:afterAutospacing="1"/>
            </w:pPr>
            <w:r>
              <w:t xml:space="preserve">Знати найпоширеніші неврологічні </w:t>
            </w:r>
            <w:r w:rsidR="003C5FAC">
              <w:t>захворювання та</w:t>
            </w:r>
            <w:r w:rsidR="00E24608">
              <w:t xml:space="preserve"> їхні </w:t>
            </w:r>
            <w:r w:rsidR="003C5FAC">
              <w:t>наслідки</w:t>
            </w:r>
            <w:r w:rsidR="00003338">
              <w:t xml:space="preserve"> для </w:t>
            </w:r>
            <w:r w:rsidR="00E24608">
              <w:t xml:space="preserve">громадського здоровʼя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DE765B5" w14:textId="1B756B1E" w:rsidR="002B51C3" w:rsidRPr="00C8221B" w:rsidRDefault="002B51C3" w:rsidP="00D64464">
            <w:pPr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0135885B" w14:textId="2ABDB444" w:rsidR="002B51C3" w:rsidRPr="00C8221B" w:rsidRDefault="002B51C3" w:rsidP="00D64464">
            <w:pPr>
              <w:spacing w:after="100" w:afterAutospacing="1"/>
            </w:pPr>
          </w:p>
        </w:tc>
      </w:tr>
      <w:tr w:rsidR="002B51C3" w:rsidRPr="00C8221B" w14:paraId="45F7965E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AE2F" w14:textId="4428C05F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t>Тема 11.</w:t>
            </w:r>
          </w:p>
          <w:p w14:paraId="218D2F72" w14:textId="5A256BF3" w:rsidR="002B51C3" w:rsidRPr="00C8221B" w:rsidRDefault="002B51C3" w:rsidP="00D64464">
            <w:pPr>
              <w:spacing w:after="100" w:afterAutospacing="1"/>
            </w:pPr>
            <w:r w:rsidRPr="00C8221B">
              <w:t>Епідеміологія раку та громадське здоров'я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1F13F" w14:textId="79EE2B08" w:rsidR="002B51C3" w:rsidRPr="00C8221B" w:rsidRDefault="002B51C3" w:rsidP="00D64464">
            <w:pPr>
              <w:spacing w:after="100" w:afterAutospacing="1"/>
              <w:jc w:val="center"/>
            </w:pPr>
            <w:r w:rsidRPr="00C8221B">
              <w:t>2/2/4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0C6A5" w14:textId="37F67D60" w:rsidR="002B51C3" w:rsidRPr="00912B54" w:rsidRDefault="00912B54" w:rsidP="00D64464">
            <w:pPr>
              <w:spacing w:after="100" w:afterAutospacing="1"/>
            </w:pPr>
            <w:r>
              <w:rPr>
                <w:lang w:val="x-none"/>
              </w:rPr>
              <w:t>Знати поширеність онкологічних захворювань, фактори ризику. Розуміти принципи профілактик</w:t>
            </w:r>
            <w:r w:rsidR="006C7E8D">
              <w:t xml:space="preserve">и </w:t>
            </w:r>
            <w:r>
              <w:rPr>
                <w:lang w:val="x-none"/>
              </w:rPr>
              <w:t xml:space="preserve">різних видів раку.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98169BA" w14:textId="2234DC96" w:rsidR="002B51C3" w:rsidRPr="00C8221B" w:rsidRDefault="002B51C3" w:rsidP="00D64464">
            <w:pPr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ACE4346" w14:textId="579ABB5C" w:rsidR="002B51C3" w:rsidRPr="00C8221B" w:rsidRDefault="002B51C3" w:rsidP="00D64464">
            <w:pPr>
              <w:spacing w:after="100" w:afterAutospacing="1"/>
            </w:pPr>
          </w:p>
        </w:tc>
      </w:tr>
      <w:tr w:rsidR="002B51C3" w:rsidRPr="00C8221B" w14:paraId="23D88E83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8927E" w14:textId="4AB7EABE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t>Тема 12.</w:t>
            </w:r>
          </w:p>
          <w:p w14:paraId="0A50C4F8" w14:textId="3B678381" w:rsidR="002B51C3" w:rsidRPr="00C8221B" w:rsidRDefault="002B51C3" w:rsidP="00D64464">
            <w:pPr>
              <w:spacing w:after="100" w:afterAutospacing="1"/>
            </w:pPr>
            <w:r w:rsidRPr="00C8221B">
              <w:t>Алергійні захворювання і громадське здоров’я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12460" w14:textId="2F26098B" w:rsidR="002B51C3" w:rsidRPr="00C8221B" w:rsidRDefault="002B51C3" w:rsidP="00D64464">
            <w:pPr>
              <w:spacing w:after="100" w:afterAutospacing="1"/>
              <w:jc w:val="center"/>
            </w:pPr>
            <w:r w:rsidRPr="00C8221B">
              <w:t>2/2/4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D5F40" w14:textId="5AB1D5B0" w:rsidR="003134EC" w:rsidRPr="00BA24FE" w:rsidRDefault="002B51C3" w:rsidP="00D64464">
            <w:pPr>
              <w:spacing w:after="100" w:afterAutospacing="1"/>
            </w:pPr>
            <w:r w:rsidRPr="00C8221B">
              <w:t>Знати</w:t>
            </w:r>
            <w:r w:rsidR="00866256">
              <w:t xml:space="preserve"> </w:t>
            </w:r>
            <w:r w:rsidR="000B4526">
              <w:t xml:space="preserve">перелік основних </w:t>
            </w:r>
            <w:r w:rsidR="00866256">
              <w:t xml:space="preserve">алергенів та </w:t>
            </w:r>
            <w:r w:rsidR="002F117F">
              <w:t xml:space="preserve">найпоширеніші </w:t>
            </w:r>
            <w:r w:rsidR="007F20D0">
              <w:t>алергійні захворювання</w:t>
            </w:r>
            <w:r w:rsidRPr="00C8221B">
              <w:t>.</w:t>
            </w:r>
            <w:r w:rsidR="002F117F">
              <w:t xml:space="preserve"> </w:t>
            </w:r>
            <w:r w:rsidR="00BA24FE">
              <w:rPr>
                <w:lang w:val="x-none"/>
              </w:rPr>
              <w:t xml:space="preserve">Розуміти наслідки </w:t>
            </w:r>
            <w:proofErr w:type="spellStart"/>
            <w:r w:rsidR="00BA24FE">
              <w:rPr>
                <w:lang w:val="x-none"/>
              </w:rPr>
              <w:t>алергі</w:t>
            </w:r>
            <w:r w:rsidR="00BA24FE">
              <w:t>йних</w:t>
            </w:r>
            <w:proofErr w:type="spellEnd"/>
            <w:r w:rsidR="00BA24FE">
              <w:rPr>
                <w:lang w:val="x-none"/>
              </w:rPr>
              <w:t xml:space="preserve"> захворювань для громадського </w:t>
            </w:r>
            <w:proofErr w:type="spellStart"/>
            <w:r w:rsidR="00BA24FE">
              <w:rPr>
                <w:lang w:val="x-none"/>
              </w:rPr>
              <w:t>здоров’я</w:t>
            </w:r>
            <w:proofErr w:type="spellEnd"/>
            <w:r w:rsidR="00BA24FE">
              <w:rPr>
                <w:lang w:val="x-none"/>
              </w:rPr>
              <w:t xml:space="preserve"> 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23BF511" w14:textId="5B95E65F" w:rsidR="002B51C3" w:rsidRPr="00C8221B" w:rsidRDefault="002B51C3" w:rsidP="00D64464">
            <w:pPr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354658" w14:textId="7FE87B32" w:rsidR="002B51C3" w:rsidRPr="00C8221B" w:rsidRDefault="002B51C3" w:rsidP="00D64464">
            <w:pPr>
              <w:spacing w:after="100" w:afterAutospacing="1"/>
            </w:pPr>
          </w:p>
        </w:tc>
      </w:tr>
      <w:tr w:rsidR="002B51C3" w:rsidRPr="00C8221B" w14:paraId="5E9E3B68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F33A3" w14:textId="66E85E4F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t>Тема 13.</w:t>
            </w:r>
          </w:p>
          <w:p w14:paraId="2D0EEB4B" w14:textId="3D982156" w:rsidR="002B51C3" w:rsidRPr="00C8221B" w:rsidRDefault="002B51C3" w:rsidP="00D64464">
            <w:pPr>
              <w:spacing w:after="100" w:afterAutospacing="1"/>
              <w:rPr>
                <w:b/>
                <w:bCs/>
              </w:rPr>
            </w:pPr>
            <w:r w:rsidRPr="00C8221B">
              <w:t>Внутрішні хвороби: інфекційна патологія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577A9" w14:textId="5E7D8299" w:rsidR="002B51C3" w:rsidRPr="00C8221B" w:rsidRDefault="002B51C3" w:rsidP="00D64464">
            <w:pPr>
              <w:spacing w:after="100" w:afterAutospacing="1"/>
              <w:jc w:val="center"/>
            </w:pPr>
            <w:r w:rsidRPr="00C8221B">
              <w:t>2/2/</w:t>
            </w:r>
            <w:r w:rsidR="00A7194A">
              <w:t>6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A49F9" w14:textId="63226925" w:rsidR="002B51C3" w:rsidRPr="00C8221B" w:rsidRDefault="002B51C3" w:rsidP="00D64464">
            <w:r w:rsidRPr="00C8221B">
              <w:t>Зна</w:t>
            </w:r>
            <w:r w:rsidR="00736483">
              <w:t xml:space="preserve">ти основні хронічні </w:t>
            </w:r>
            <w:r w:rsidR="000E6DD4">
              <w:t xml:space="preserve">інфекційні </w:t>
            </w:r>
            <w:r w:rsidR="00736483">
              <w:t xml:space="preserve">захворювання, боротьба з якими </w:t>
            </w:r>
            <w:r w:rsidR="00972793">
              <w:t>є пріоритетним завданням України.</w:t>
            </w:r>
          </w:p>
          <w:p w14:paraId="3FAC58F3" w14:textId="38E4B83D" w:rsidR="002B51C3" w:rsidRPr="00C8221B" w:rsidRDefault="00972793" w:rsidP="00D64464">
            <w:r>
              <w:t xml:space="preserve">Розуміти шляхи </w:t>
            </w:r>
            <w:r w:rsidR="00B27769">
              <w:t>передачі збудників цих</w:t>
            </w:r>
            <w:r w:rsidR="000E6DD4">
              <w:t xml:space="preserve"> захворювань</w:t>
            </w:r>
            <w:r w:rsidR="00117692">
              <w:t xml:space="preserve">, </w:t>
            </w:r>
            <w:r w:rsidR="008E3F25">
              <w:t xml:space="preserve">їхню </w:t>
            </w:r>
            <w:r w:rsidR="00117692">
              <w:t>діагности</w:t>
            </w:r>
            <w:r w:rsidR="00CA0816">
              <w:t>ку</w:t>
            </w:r>
            <w:r w:rsidR="00C90EC0">
              <w:t>,</w:t>
            </w:r>
            <w:r w:rsidR="00CA0816">
              <w:t xml:space="preserve"> лікування та профілактику</w:t>
            </w:r>
            <w:r w:rsidR="00C90EC0">
              <w:t>.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DD31DA" w14:textId="60FBC50B" w:rsidR="002B51C3" w:rsidRPr="00C8221B" w:rsidRDefault="002B51C3" w:rsidP="00D64464">
            <w:pPr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CE4E4A" w14:textId="7F522A51" w:rsidR="002B51C3" w:rsidRPr="00C8221B" w:rsidRDefault="002B51C3" w:rsidP="00D64464">
            <w:pPr>
              <w:spacing w:after="100" w:afterAutospacing="1"/>
            </w:pPr>
          </w:p>
        </w:tc>
      </w:tr>
      <w:tr w:rsidR="002B51C3" w:rsidRPr="00C8221B" w14:paraId="15C36F19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00A3A" w14:textId="510556CA" w:rsidR="002B51C3" w:rsidRPr="00C8221B" w:rsidRDefault="002B51C3" w:rsidP="00D64464">
            <w:pPr>
              <w:spacing w:after="100" w:afterAutospacing="1"/>
            </w:pPr>
            <w:r w:rsidRPr="00C8221B">
              <w:rPr>
                <w:b/>
                <w:bCs/>
              </w:rPr>
              <w:t>Тема 14.</w:t>
            </w:r>
          </w:p>
          <w:p w14:paraId="592975A2" w14:textId="05CC2EB9" w:rsidR="002B51C3" w:rsidRPr="00C8221B" w:rsidRDefault="002B51C3" w:rsidP="00D64464">
            <w:pPr>
              <w:spacing w:after="100" w:afterAutospacing="1"/>
              <w:rPr>
                <w:b/>
                <w:bCs/>
              </w:rPr>
            </w:pPr>
            <w:r w:rsidRPr="00C8221B">
              <w:t>Внутрішні хвороби пов’язані з дефіцитом поживних речовин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2A584" w14:textId="223BEF18" w:rsidR="002B51C3" w:rsidRPr="00C8221B" w:rsidRDefault="002B51C3" w:rsidP="00D64464">
            <w:pPr>
              <w:spacing w:after="100" w:afterAutospacing="1"/>
              <w:jc w:val="center"/>
            </w:pPr>
            <w:r w:rsidRPr="00C8221B">
              <w:t>2/2/</w:t>
            </w:r>
            <w:r w:rsidR="00A7194A">
              <w:t>8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6E60" w14:textId="2161C9F9" w:rsidR="002B51C3" w:rsidRPr="00C8221B" w:rsidRDefault="00F853D1" w:rsidP="00D64464">
            <w:pPr>
              <w:spacing w:after="100" w:afterAutospacing="1"/>
            </w:pPr>
            <w:r>
              <w:t xml:space="preserve">Розуміти основи </w:t>
            </w:r>
            <w:r w:rsidR="00992E21">
              <w:t xml:space="preserve">продовольчої </w:t>
            </w:r>
            <w:r w:rsidR="00B23064">
              <w:t xml:space="preserve">безпеки. </w:t>
            </w:r>
            <w:r w:rsidR="002B51C3" w:rsidRPr="00C8221B">
              <w:t>Знати</w:t>
            </w:r>
            <w:r w:rsidR="00786C51">
              <w:t xml:space="preserve"> найпоширеніші </w:t>
            </w:r>
            <w:r w:rsidR="00C134AC">
              <w:t>внутрі</w:t>
            </w:r>
            <w:r w:rsidR="00786C51">
              <w:t xml:space="preserve">шні хвороби, що повʼязані з </w:t>
            </w:r>
            <w:r w:rsidR="00E87B48">
              <w:t xml:space="preserve">нераціональним </w:t>
            </w:r>
            <w:r w:rsidR="00333DF6">
              <w:t xml:space="preserve">харчуванням та </w:t>
            </w:r>
            <w:r w:rsidR="00B23064">
              <w:t>принципи</w:t>
            </w:r>
            <w:r w:rsidR="002B51C3" w:rsidRPr="00C8221B">
              <w:t xml:space="preserve"> </w:t>
            </w:r>
            <w:r w:rsidR="005A5334">
              <w:t>профілактики цих захворювань</w:t>
            </w:r>
            <w:r w:rsidR="002B51C3" w:rsidRPr="00C8221B">
              <w:t>.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6B4645" w14:textId="3332498D" w:rsidR="002B51C3" w:rsidRPr="00C8221B" w:rsidRDefault="002B51C3" w:rsidP="00D64464">
            <w:pPr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73A666" w14:textId="6F34824A" w:rsidR="002B51C3" w:rsidRPr="00C8221B" w:rsidRDefault="002B51C3" w:rsidP="00D64464">
            <w:pPr>
              <w:spacing w:after="100" w:afterAutospacing="1"/>
            </w:pPr>
          </w:p>
        </w:tc>
      </w:tr>
      <w:tr w:rsidR="002B51C3" w:rsidRPr="00C8221B" w14:paraId="5F515F97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8E0CB" w14:textId="0357B1D7" w:rsidR="002B51C3" w:rsidRPr="00C8221B" w:rsidRDefault="002B51C3" w:rsidP="00D64464">
            <w:pPr>
              <w:spacing w:after="100" w:afterAutospacing="1"/>
              <w:rPr>
                <w:b/>
                <w:bCs/>
              </w:rPr>
            </w:pPr>
            <w:r w:rsidRPr="00C8221B">
              <w:rPr>
                <w:b/>
                <w:bCs/>
              </w:rPr>
              <w:t>Тема 15.</w:t>
            </w:r>
          </w:p>
          <w:p w14:paraId="54A1A732" w14:textId="0E7DC4A6" w:rsidR="002B51C3" w:rsidRPr="00C8221B" w:rsidRDefault="002B51C3" w:rsidP="00D64464">
            <w:pPr>
              <w:spacing w:after="100" w:afterAutospacing="1"/>
            </w:pPr>
            <w:r w:rsidRPr="00C8221B">
              <w:t>Харчування і хронічні неінфекційні захворювання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81AFB" w14:textId="4D5F0C1C" w:rsidR="002B51C3" w:rsidRPr="00C8221B" w:rsidRDefault="002B51C3" w:rsidP="00D64464">
            <w:pPr>
              <w:spacing w:after="100" w:afterAutospacing="1"/>
              <w:jc w:val="center"/>
            </w:pPr>
            <w:r w:rsidRPr="00C8221B">
              <w:t>2/</w:t>
            </w:r>
            <w:r w:rsidR="003817EF">
              <w:t>2</w:t>
            </w:r>
            <w:r w:rsidRPr="00C8221B">
              <w:t>/</w:t>
            </w:r>
            <w:r w:rsidR="00A7194A">
              <w:t>8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FE5A6" w14:textId="4AD55679" w:rsidR="002B51C3" w:rsidRPr="00C8221B" w:rsidRDefault="002B51C3" w:rsidP="00D64464">
            <w:pPr>
              <w:spacing w:after="100" w:afterAutospacing="1"/>
            </w:pPr>
            <w:r w:rsidRPr="00C8221B">
              <w:t xml:space="preserve">Розуміти </w:t>
            </w:r>
            <w:r w:rsidR="00186DCE" w:rsidRPr="00C8221B">
              <w:t xml:space="preserve">причинно-наслідковий зв'язок між </w:t>
            </w:r>
            <w:r w:rsidR="005A5334">
              <w:t xml:space="preserve">факторами </w:t>
            </w:r>
            <w:r w:rsidR="00186DCE" w:rsidRPr="00C8221B">
              <w:t xml:space="preserve">харчування та </w:t>
            </w:r>
            <w:r w:rsidR="00827BFA" w:rsidRPr="00C8221B">
              <w:t>хронічни</w:t>
            </w:r>
            <w:r w:rsidR="005A5334">
              <w:t xml:space="preserve">ми </w:t>
            </w:r>
            <w:r w:rsidR="00827BFA" w:rsidRPr="00C8221B">
              <w:t>захворюван</w:t>
            </w:r>
            <w:r w:rsidR="005A5334">
              <w:t>нями</w:t>
            </w:r>
            <w:r w:rsidRPr="00C8221B">
              <w:t xml:space="preserve">. Знати </w:t>
            </w:r>
            <w:r w:rsidR="00186DCE" w:rsidRPr="00C8221B">
              <w:t>найпоширеніші хронічні неінфекційні захворювання, пов’язані з харчуванням</w:t>
            </w:r>
            <w:r w:rsidRPr="00C8221B">
              <w:t>.</w:t>
            </w:r>
          </w:p>
        </w:tc>
        <w:tc>
          <w:tcPr>
            <w:tcW w:w="18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A02AC" w14:textId="7FC332E4" w:rsidR="002B51C3" w:rsidRPr="00C8221B" w:rsidRDefault="002B51C3" w:rsidP="00D64464">
            <w:pPr>
              <w:jc w:val="center"/>
            </w:pPr>
          </w:p>
        </w:tc>
        <w:tc>
          <w:tcPr>
            <w:tcW w:w="1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55380" w14:textId="7FE93C16" w:rsidR="002B51C3" w:rsidRPr="00C8221B" w:rsidRDefault="002B51C3" w:rsidP="00D64464">
            <w:pPr>
              <w:spacing w:after="100" w:afterAutospacing="1"/>
            </w:pPr>
          </w:p>
        </w:tc>
      </w:tr>
      <w:tr w:rsidR="00D64464" w:rsidRPr="00C8221B" w14:paraId="618697F2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6EAD" w14:textId="77777777" w:rsidR="00D64464" w:rsidRPr="00C8221B" w:rsidRDefault="00D64464" w:rsidP="00D64464">
            <w:pPr>
              <w:spacing w:after="100" w:afterAutospacing="1"/>
              <w:rPr>
                <w:lang w:val="en-US"/>
              </w:rPr>
            </w:pPr>
            <w:r w:rsidRPr="00C8221B">
              <w:rPr>
                <w:b/>
                <w:bCs/>
              </w:rPr>
              <w:lastRenderedPageBreak/>
              <w:t xml:space="preserve">Разом за модулем </w:t>
            </w:r>
            <w:r w:rsidRPr="00C8221B">
              <w:rPr>
                <w:b/>
                <w:bCs/>
                <w:lang w:val="en-US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C992" w14:textId="06B6E040" w:rsidR="00D64464" w:rsidRPr="00C8221B" w:rsidRDefault="00934E3B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16</w:t>
            </w:r>
            <w:r w:rsidR="00D64464" w:rsidRPr="00C8221B">
              <w:rPr>
                <w:b/>
                <w:bCs/>
              </w:rPr>
              <w:t>/1</w:t>
            </w:r>
            <w:r w:rsidRPr="00C8221B">
              <w:rPr>
                <w:b/>
                <w:bCs/>
              </w:rPr>
              <w:t>6</w:t>
            </w:r>
            <w:r w:rsidR="00D64464" w:rsidRPr="00C8221B">
              <w:rPr>
                <w:b/>
                <w:bCs/>
              </w:rPr>
              <w:t>/</w:t>
            </w:r>
            <w:r w:rsidR="00FD3577">
              <w:rPr>
                <w:b/>
                <w:bCs/>
              </w:rPr>
              <w:t>42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E770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A834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B97AE" w14:textId="43326A13" w:rsidR="00D64464" w:rsidRPr="00C8221B" w:rsidRDefault="00D64464" w:rsidP="00D64464">
            <w:pPr>
              <w:spacing w:after="100" w:afterAutospacing="1"/>
              <w:jc w:val="center"/>
            </w:pPr>
          </w:p>
        </w:tc>
      </w:tr>
      <w:tr w:rsidR="00D64464" w:rsidRPr="00C8221B" w14:paraId="553E3E5A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FF6D" w14:textId="77777777" w:rsidR="00D64464" w:rsidRPr="00C8221B" w:rsidRDefault="00D64464" w:rsidP="00D64464">
            <w:pPr>
              <w:spacing w:after="100" w:afterAutospacing="1"/>
            </w:pPr>
            <w:r w:rsidRPr="00C8221B">
              <w:rPr>
                <w:b/>
                <w:bCs/>
              </w:rPr>
              <w:t xml:space="preserve">Всього за </w:t>
            </w:r>
            <w:r w:rsidRPr="00C8221B">
              <w:rPr>
                <w:b/>
                <w:bCs/>
                <w:lang w:val="en-US"/>
              </w:rPr>
              <w:t>6</w:t>
            </w:r>
            <w:r w:rsidRPr="00C8221B">
              <w:rPr>
                <w:b/>
                <w:bCs/>
              </w:rPr>
              <w:t xml:space="preserve"> семестр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AA46" w14:textId="71FEDD0A" w:rsidR="00D64464" w:rsidRPr="00C8221B" w:rsidRDefault="00934E3B" w:rsidP="00D64464">
            <w:pPr>
              <w:spacing w:after="100" w:afterAutospacing="1"/>
              <w:jc w:val="center"/>
              <w:rPr>
                <w:lang w:val="en-US"/>
              </w:rPr>
            </w:pPr>
            <w:r w:rsidRPr="00C8221B">
              <w:rPr>
                <w:b/>
                <w:bCs/>
              </w:rPr>
              <w:t>30</w:t>
            </w:r>
            <w:r w:rsidR="00D64464" w:rsidRPr="00C8221B">
              <w:rPr>
                <w:b/>
                <w:bCs/>
              </w:rPr>
              <w:t>/30/</w:t>
            </w:r>
            <w:r w:rsidRPr="00C8221B">
              <w:rPr>
                <w:b/>
                <w:bCs/>
              </w:rPr>
              <w:t>90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29AE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C16B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EB1B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70</w:t>
            </w:r>
          </w:p>
        </w:tc>
      </w:tr>
      <w:tr w:rsidR="00D64464" w:rsidRPr="00C8221B" w14:paraId="299007C8" w14:textId="77777777" w:rsidTr="002B51C3">
        <w:trPr>
          <w:jc w:val="center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F0D7" w14:textId="77777777" w:rsidR="00D64464" w:rsidRPr="00C8221B" w:rsidRDefault="00D64464" w:rsidP="00D64464">
            <w:pPr>
              <w:spacing w:after="100" w:afterAutospacing="1"/>
            </w:pPr>
            <w:r w:rsidRPr="00C8221B">
              <w:rPr>
                <w:b/>
                <w:bCs/>
              </w:rPr>
              <w:t>Іспит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4266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DF1CF" w14:textId="77777777" w:rsidR="00D64464" w:rsidRPr="00C8221B" w:rsidRDefault="00D64464" w:rsidP="00D64464">
            <w:pPr>
              <w:spacing w:after="100" w:afterAutospacing="1"/>
            </w:pPr>
            <w:r w:rsidRPr="00C8221B">
              <w:rPr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793B" w14:textId="5972AE02" w:rsidR="00D64464" w:rsidRPr="00C8221B" w:rsidRDefault="00D64464" w:rsidP="00D64464">
            <w:pPr>
              <w:spacing w:after="100" w:afterAutospacing="1"/>
              <w:jc w:val="center"/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8D8D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30</w:t>
            </w:r>
          </w:p>
        </w:tc>
      </w:tr>
      <w:tr w:rsidR="00D64464" w:rsidRPr="00C8221B" w14:paraId="5AAD9814" w14:textId="77777777" w:rsidTr="002B51C3">
        <w:trPr>
          <w:jc w:val="center"/>
        </w:trPr>
        <w:tc>
          <w:tcPr>
            <w:tcW w:w="8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47EB" w14:textId="77777777" w:rsidR="00D64464" w:rsidRPr="00C8221B" w:rsidRDefault="00D64464" w:rsidP="00186DCE">
            <w:pPr>
              <w:spacing w:after="100" w:afterAutospacing="1"/>
            </w:pPr>
            <w:r w:rsidRPr="00C8221B">
              <w:rPr>
                <w:b/>
                <w:bCs/>
              </w:rPr>
              <w:t>Всього за курс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EC80F" w14:textId="77777777" w:rsidR="00D64464" w:rsidRPr="00C8221B" w:rsidRDefault="00D64464" w:rsidP="00D64464">
            <w:pPr>
              <w:spacing w:after="100" w:afterAutospacing="1"/>
              <w:jc w:val="center"/>
            </w:pPr>
            <w:r w:rsidRPr="00C8221B">
              <w:rPr>
                <w:b/>
                <w:bCs/>
              </w:rPr>
              <w:t>100</w:t>
            </w:r>
          </w:p>
        </w:tc>
      </w:tr>
    </w:tbl>
    <w:p w14:paraId="5592C085" w14:textId="77777777" w:rsidR="000D7CF7" w:rsidRPr="00C8221B" w:rsidRDefault="000D7CF7">
      <w:pPr>
        <w:rPr>
          <w:b/>
          <w:color w:val="17365D"/>
        </w:rPr>
      </w:pPr>
    </w:p>
    <w:p w14:paraId="79F0975D" w14:textId="77777777" w:rsidR="000D7CF7" w:rsidRPr="00C8221B" w:rsidRDefault="000D7CF7">
      <w:pPr>
        <w:jc w:val="center"/>
        <w:rPr>
          <w:b/>
          <w:color w:val="17365D"/>
        </w:rPr>
      </w:pPr>
    </w:p>
    <w:p w14:paraId="1DEBBDF4" w14:textId="77777777" w:rsidR="000D7CF7" w:rsidRPr="00C8221B" w:rsidRDefault="003E5050">
      <w:pPr>
        <w:jc w:val="center"/>
        <w:rPr>
          <w:b/>
          <w:color w:val="17365D"/>
        </w:rPr>
      </w:pPr>
      <w:r w:rsidRPr="00C8221B">
        <w:rPr>
          <w:b/>
          <w:color w:val="17365D"/>
        </w:rPr>
        <w:t>ПОЛІТИКА ОЦІНЮВАННЯ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0"/>
        <w:gridCol w:w="6715"/>
      </w:tblGrid>
      <w:tr w:rsidR="000D7CF7" w:rsidRPr="00C8221B" w14:paraId="7D4CC126" w14:textId="77777777">
        <w:tc>
          <w:tcPr>
            <w:tcW w:w="2630" w:type="dxa"/>
          </w:tcPr>
          <w:p w14:paraId="77E2F428" w14:textId="77777777" w:rsidR="000D7CF7" w:rsidRPr="00C8221B" w:rsidRDefault="003E5050">
            <w:pPr>
              <w:jc w:val="center"/>
              <w:rPr>
                <w:b/>
              </w:rPr>
            </w:pPr>
            <w:r w:rsidRPr="00C8221B">
              <w:rPr>
                <w:b/>
                <w:i/>
              </w:rPr>
              <w:t>Політика щодо дедлайнів та перескладання:</w:t>
            </w:r>
          </w:p>
        </w:tc>
        <w:tc>
          <w:tcPr>
            <w:tcW w:w="6715" w:type="dxa"/>
          </w:tcPr>
          <w:p w14:paraId="58BD9D6A" w14:textId="77777777" w:rsidR="000D7CF7" w:rsidRPr="00C8221B" w:rsidRDefault="003E5050">
            <w:r w:rsidRPr="00C8221B">
              <w:t xml:space="preserve">Дедлайни визначені в ЕНК.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0D7CF7" w:rsidRPr="00C8221B" w14:paraId="5E89D2B9" w14:textId="77777777">
        <w:tc>
          <w:tcPr>
            <w:tcW w:w="2630" w:type="dxa"/>
          </w:tcPr>
          <w:p w14:paraId="049AC040" w14:textId="77777777" w:rsidR="000D7CF7" w:rsidRPr="00C8221B" w:rsidRDefault="003E5050">
            <w:pPr>
              <w:jc w:val="center"/>
              <w:rPr>
                <w:b/>
              </w:rPr>
            </w:pPr>
            <w:r w:rsidRPr="00C8221B">
              <w:rPr>
                <w:b/>
                <w:i/>
              </w:rPr>
              <w:t>Політика щодо академічної доброчесності:</w:t>
            </w:r>
          </w:p>
        </w:tc>
        <w:tc>
          <w:tcPr>
            <w:tcW w:w="6715" w:type="dxa"/>
          </w:tcPr>
          <w:p w14:paraId="3FCE0B07" w14:textId="77777777" w:rsidR="000D7CF7" w:rsidRPr="00C8221B" w:rsidRDefault="003E5050">
            <w:pPr>
              <w:rPr>
                <w:b/>
              </w:rPr>
            </w:pPr>
            <w:r w:rsidRPr="00C8221B">
              <w:t xml:space="preserve">Списування під час самостійних робіт, тестування та екзаменів заборонені (в т.ч. із використанням мобільних девайсів). </w:t>
            </w:r>
          </w:p>
        </w:tc>
      </w:tr>
      <w:tr w:rsidR="000D7CF7" w:rsidRPr="00C8221B" w14:paraId="5C9F4406" w14:textId="77777777">
        <w:tc>
          <w:tcPr>
            <w:tcW w:w="2630" w:type="dxa"/>
          </w:tcPr>
          <w:p w14:paraId="6865F279" w14:textId="77777777" w:rsidR="000D7CF7" w:rsidRPr="00C8221B" w:rsidRDefault="003E5050">
            <w:pPr>
              <w:jc w:val="center"/>
              <w:rPr>
                <w:b/>
              </w:rPr>
            </w:pPr>
            <w:r w:rsidRPr="00C8221B">
              <w:rPr>
                <w:b/>
                <w:i/>
              </w:rPr>
              <w:t>Політика щодо відвідування:</w:t>
            </w:r>
          </w:p>
        </w:tc>
        <w:tc>
          <w:tcPr>
            <w:tcW w:w="6715" w:type="dxa"/>
          </w:tcPr>
          <w:p w14:paraId="2A14020C" w14:textId="77777777" w:rsidR="000D7CF7" w:rsidRPr="00C8221B" w:rsidRDefault="003E5050">
            <w:r w:rsidRPr="00C8221B"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дистанційній on-line формі за погодженням із деканом факультету)</w:t>
            </w:r>
          </w:p>
        </w:tc>
      </w:tr>
    </w:tbl>
    <w:p w14:paraId="3DB73B32" w14:textId="77777777" w:rsidR="003B0AF6" w:rsidRPr="00C8221B" w:rsidRDefault="003B0AF6">
      <w:pPr>
        <w:jc w:val="center"/>
        <w:rPr>
          <w:b/>
          <w:color w:val="17365D"/>
        </w:rPr>
      </w:pPr>
    </w:p>
    <w:p w14:paraId="650186D3" w14:textId="35E56DEF" w:rsidR="000D7CF7" w:rsidRPr="00C8221B" w:rsidRDefault="003E5050">
      <w:pPr>
        <w:jc w:val="center"/>
        <w:rPr>
          <w:b/>
          <w:color w:val="17365D"/>
        </w:rPr>
      </w:pPr>
      <w:r w:rsidRPr="00C8221B">
        <w:rPr>
          <w:b/>
          <w:color w:val="17365D"/>
        </w:rPr>
        <w:t>ШКАЛА ОЦІНЮВАННЯ СТУДЕНТІВ</w:t>
      </w: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3901"/>
        <w:gridCol w:w="3114"/>
      </w:tblGrid>
      <w:tr w:rsidR="000D7CF7" w:rsidRPr="00C8221B" w14:paraId="09CA0A99" w14:textId="77777777">
        <w:tc>
          <w:tcPr>
            <w:tcW w:w="2330" w:type="dxa"/>
            <w:vMerge w:val="restart"/>
          </w:tcPr>
          <w:p w14:paraId="069E3508" w14:textId="77777777" w:rsidR="000D7CF7" w:rsidRPr="00C8221B" w:rsidRDefault="003E5050">
            <w:pPr>
              <w:jc w:val="center"/>
              <w:rPr>
                <w:b/>
              </w:rPr>
            </w:pPr>
            <w:r w:rsidRPr="00C8221B">
              <w:rPr>
                <w:b/>
              </w:rPr>
              <w:t>Рейтинг здобувача вищої освіти, бали</w:t>
            </w:r>
          </w:p>
        </w:tc>
        <w:tc>
          <w:tcPr>
            <w:tcW w:w="7015" w:type="dxa"/>
            <w:gridSpan w:val="2"/>
          </w:tcPr>
          <w:p w14:paraId="7E65285A" w14:textId="77777777" w:rsidR="000D7CF7" w:rsidRPr="00C8221B" w:rsidRDefault="003E5050">
            <w:pPr>
              <w:jc w:val="center"/>
              <w:rPr>
                <w:b/>
              </w:rPr>
            </w:pPr>
            <w:r w:rsidRPr="00C8221B">
              <w:rPr>
                <w:b/>
              </w:rPr>
              <w:t>Оцінка національна за результати складання екзаменів заліків</w:t>
            </w:r>
          </w:p>
        </w:tc>
      </w:tr>
      <w:tr w:rsidR="000D7CF7" w:rsidRPr="00C8221B" w14:paraId="010718B9" w14:textId="77777777">
        <w:tc>
          <w:tcPr>
            <w:tcW w:w="2330" w:type="dxa"/>
            <w:vMerge/>
          </w:tcPr>
          <w:p w14:paraId="27053379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01" w:type="dxa"/>
          </w:tcPr>
          <w:p w14:paraId="0D948306" w14:textId="77777777" w:rsidR="000D7CF7" w:rsidRPr="00C8221B" w:rsidRDefault="003E5050">
            <w:pPr>
              <w:jc w:val="center"/>
              <w:rPr>
                <w:b/>
              </w:rPr>
            </w:pPr>
            <w:r w:rsidRPr="00C8221B">
              <w:rPr>
                <w:b/>
              </w:rPr>
              <w:t>Екзаменів</w:t>
            </w:r>
          </w:p>
        </w:tc>
        <w:tc>
          <w:tcPr>
            <w:tcW w:w="3114" w:type="dxa"/>
          </w:tcPr>
          <w:p w14:paraId="15733D65" w14:textId="77777777" w:rsidR="000D7CF7" w:rsidRPr="00C8221B" w:rsidRDefault="003E5050">
            <w:pPr>
              <w:jc w:val="center"/>
              <w:rPr>
                <w:b/>
              </w:rPr>
            </w:pPr>
            <w:r w:rsidRPr="00C8221B">
              <w:rPr>
                <w:b/>
              </w:rPr>
              <w:t>Заліків</w:t>
            </w:r>
          </w:p>
        </w:tc>
      </w:tr>
      <w:tr w:rsidR="000D7CF7" w:rsidRPr="00C8221B" w14:paraId="208D0AD2" w14:textId="77777777">
        <w:tc>
          <w:tcPr>
            <w:tcW w:w="2330" w:type="dxa"/>
          </w:tcPr>
          <w:p w14:paraId="084C1A32" w14:textId="77777777" w:rsidR="000D7CF7" w:rsidRPr="00C8221B" w:rsidRDefault="003E5050">
            <w:pPr>
              <w:jc w:val="center"/>
            </w:pPr>
            <w:r w:rsidRPr="00C8221B">
              <w:t>90-100</w:t>
            </w:r>
          </w:p>
        </w:tc>
        <w:tc>
          <w:tcPr>
            <w:tcW w:w="3901" w:type="dxa"/>
          </w:tcPr>
          <w:p w14:paraId="6A95B15A" w14:textId="77777777" w:rsidR="000D7CF7" w:rsidRPr="00C8221B" w:rsidRDefault="003E5050">
            <w:pPr>
              <w:jc w:val="center"/>
            </w:pPr>
            <w:r w:rsidRPr="00C8221B">
              <w:t>Відмінно</w:t>
            </w:r>
          </w:p>
        </w:tc>
        <w:tc>
          <w:tcPr>
            <w:tcW w:w="3114" w:type="dxa"/>
            <w:vMerge w:val="restart"/>
          </w:tcPr>
          <w:p w14:paraId="0BC1B017" w14:textId="77777777" w:rsidR="000D7CF7" w:rsidRPr="00C8221B" w:rsidRDefault="003E5050">
            <w:pPr>
              <w:jc w:val="center"/>
            </w:pPr>
            <w:r w:rsidRPr="00C8221B">
              <w:t>зараховано</w:t>
            </w:r>
          </w:p>
        </w:tc>
      </w:tr>
      <w:tr w:rsidR="000D7CF7" w:rsidRPr="00C8221B" w14:paraId="4610295A" w14:textId="77777777">
        <w:tc>
          <w:tcPr>
            <w:tcW w:w="2330" w:type="dxa"/>
          </w:tcPr>
          <w:p w14:paraId="5DE4D10F" w14:textId="77777777" w:rsidR="000D7CF7" w:rsidRPr="00C8221B" w:rsidRDefault="003E5050">
            <w:pPr>
              <w:jc w:val="center"/>
            </w:pPr>
            <w:r w:rsidRPr="00C8221B">
              <w:t>74-89</w:t>
            </w:r>
          </w:p>
        </w:tc>
        <w:tc>
          <w:tcPr>
            <w:tcW w:w="3901" w:type="dxa"/>
          </w:tcPr>
          <w:p w14:paraId="2E352430" w14:textId="77777777" w:rsidR="000D7CF7" w:rsidRPr="00C8221B" w:rsidRDefault="003E5050">
            <w:pPr>
              <w:jc w:val="center"/>
            </w:pPr>
            <w:r w:rsidRPr="00C8221B">
              <w:t>Добре</w:t>
            </w:r>
          </w:p>
        </w:tc>
        <w:tc>
          <w:tcPr>
            <w:tcW w:w="3114" w:type="dxa"/>
            <w:vMerge/>
          </w:tcPr>
          <w:p w14:paraId="47BA02F4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CF7" w:rsidRPr="00C8221B" w14:paraId="55EC02D7" w14:textId="77777777">
        <w:tc>
          <w:tcPr>
            <w:tcW w:w="2330" w:type="dxa"/>
          </w:tcPr>
          <w:p w14:paraId="750F2BF2" w14:textId="77777777" w:rsidR="000D7CF7" w:rsidRPr="00C8221B" w:rsidRDefault="003E5050">
            <w:pPr>
              <w:jc w:val="center"/>
            </w:pPr>
            <w:r w:rsidRPr="00C8221B">
              <w:t>60-73</w:t>
            </w:r>
          </w:p>
        </w:tc>
        <w:tc>
          <w:tcPr>
            <w:tcW w:w="3901" w:type="dxa"/>
          </w:tcPr>
          <w:p w14:paraId="6215E357" w14:textId="77777777" w:rsidR="000D7CF7" w:rsidRPr="00C8221B" w:rsidRDefault="003E5050">
            <w:pPr>
              <w:jc w:val="center"/>
            </w:pPr>
            <w:r w:rsidRPr="00C8221B">
              <w:t>Задовільно</w:t>
            </w:r>
          </w:p>
        </w:tc>
        <w:tc>
          <w:tcPr>
            <w:tcW w:w="3114" w:type="dxa"/>
            <w:vMerge/>
          </w:tcPr>
          <w:p w14:paraId="7CBF6754" w14:textId="77777777" w:rsidR="000D7CF7" w:rsidRPr="00C8221B" w:rsidRDefault="000D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CF7" w:rsidRPr="00C8221B" w14:paraId="77B7FCDB" w14:textId="77777777">
        <w:tc>
          <w:tcPr>
            <w:tcW w:w="2330" w:type="dxa"/>
          </w:tcPr>
          <w:p w14:paraId="5A35DFB9" w14:textId="77777777" w:rsidR="000D7CF7" w:rsidRPr="00C8221B" w:rsidRDefault="003E5050">
            <w:pPr>
              <w:jc w:val="center"/>
            </w:pPr>
            <w:r w:rsidRPr="00C8221B">
              <w:t>0-59</w:t>
            </w:r>
          </w:p>
        </w:tc>
        <w:tc>
          <w:tcPr>
            <w:tcW w:w="3901" w:type="dxa"/>
          </w:tcPr>
          <w:p w14:paraId="5FD4B271" w14:textId="77777777" w:rsidR="000D7CF7" w:rsidRPr="00C8221B" w:rsidRDefault="003E5050">
            <w:pPr>
              <w:jc w:val="center"/>
            </w:pPr>
            <w:r w:rsidRPr="00C8221B">
              <w:t>незадовільно</w:t>
            </w:r>
          </w:p>
        </w:tc>
        <w:tc>
          <w:tcPr>
            <w:tcW w:w="3114" w:type="dxa"/>
          </w:tcPr>
          <w:p w14:paraId="7DCE8B03" w14:textId="77777777" w:rsidR="000D7CF7" w:rsidRPr="00C8221B" w:rsidRDefault="003E5050">
            <w:pPr>
              <w:jc w:val="center"/>
            </w:pPr>
            <w:r w:rsidRPr="00C8221B">
              <w:t xml:space="preserve"> не зараховано</w:t>
            </w:r>
          </w:p>
        </w:tc>
      </w:tr>
    </w:tbl>
    <w:p w14:paraId="686C46AE" w14:textId="45E116D8" w:rsidR="000D7CF7" w:rsidRPr="00C8221B" w:rsidRDefault="000D7CF7">
      <w:pPr>
        <w:rPr>
          <w:b/>
        </w:rPr>
      </w:pPr>
    </w:p>
    <w:p w14:paraId="67362F56" w14:textId="0D8EAF3D" w:rsidR="00E933FF" w:rsidRPr="00C8221B" w:rsidRDefault="00E933FF" w:rsidP="00E933FF">
      <w:pPr>
        <w:jc w:val="center"/>
        <w:rPr>
          <w:b/>
        </w:rPr>
      </w:pPr>
    </w:p>
    <w:sectPr w:rsidR="00E933FF" w:rsidRPr="00C8221B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35"/>
    <w:multiLevelType w:val="hybridMultilevel"/>
    <w:tmpl w:val="73B2E02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F70E8A"/>
    <w:multiLevelType w:val="hybridMultilevel"/>
    <w:tmpl w:val="D2AE1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4A71"/>
    <w:multiLevelType w:val="hybridMultilevel"/>
    <w:tmpl w:val="21ECDEDC"/>
    <w:lvl w:ilvl="0" w:tplc="F30A913E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17EE2"/>
    <w:multiLevelType w:val="hybridMultilevel"/>
    <w:tmpl w:val="D22217F6"/>
    <w:lvl w:ilvl="0" w:tplc="F30A913E">
      <w:start w:val="1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D01F41"/>
    <w:multiLevelType w:val="hybridMultilevel"/>
    <w:tmpl w:val="5AB89E4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755144"/>
    <w:multiLevelType w:val="hybridMultilevel"/>
    <w:tmpl w:val="03D8EA64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B8A7B93"/>
    <w:multiLevelType w:val="hybridMultilevel"/>
    <w:tmpl w:val="0F5C91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D14CAF"/>
    <w:multiLevelType w:val="hybridMultilevel"/>
    <w:tmpl w:val="58B0D85C"/>
    <w:lvl w:ilvl="0" w:tplc="669491F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73077A"/>
    <w:multiLevelType w:val="hybridMultilevel"/>
    <w:tmpl w:val="0B9231DA"/>
    <w:lvl w:ilvl="0" w:tplc="F30A913E">
      <w:start w:val="1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B6723C"/>
    <w:multiLevelType w:val="hybridMultilevel"/>
    <w:tmpl w:val="4F363E18"/>
    <w:lvl w:ilvl="0" w:tplc="F30A913E">
      <w:start w:val="15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C3397C"/>
    <w:multiLevelType w:val="hybridMultilevel"/>
    <w:tmpl w:val="80BE9C56"/>
    <w:lvl w:ilvl="0" w:tplc="F30A913E">
      <w:start w:val="1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3360848">
    <w:abstractNumId w:val="10"/>
  </w:num>
  <w:num w:numId="2" w16cid:durableId="549077690">
    <w:abstractNumId w:val="9"/>
  </w:num>
  <w:num w:numId="3" w16cid:durableId="612636642">
    <w:abstractNumId w:val="6"/>
  </w:num>
  <w:num w:numId="4" w16cid:durableId="404031769">
    <w:abstractNumId w:val="4"/>
  </w:num>
  <w:num w:numId="5" w16cid:durableId="516426199">
    <w:abstractNumId w:val="7"/>
  </w:num>
  <w:num w:numId="6" w16cid:durableId="60712516">
    <w:abstractNumId w:val="2"/>
  </w:num>
  <w:num w:numId="7" w16cid:durableId="542056901">
    <w:abstractNumId w:val="3"/>
  </w:num>
  <w:num w:numId="8" w16cid:durableId="791048372">
    <w:abstractNumId w:val="8"/>
  </w:num>
  <w:num w:numId="9" w16cid:durableId="1848862933">
    <w:abstractNumId w:val="1"/>
  </w:num>
  <w:num w:numId="10" w16cid:durableId="1626355017">
    <w:abstractNumId w:val="0"/>
  </w:num>
  <w:num w:numId="11" w16cid:durableId="1549297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F7"/>
    <w:rsid w:val="00003338"/>
    <w:rsid w:val="000103B5"/>
    <w:rsid w:val="00026651"/>
    <w:rsid w:val="0002692E"/>
    <w:rsid w:val="00032E54"/>
    <w:rsid w:val="00065666"/>
    <w:rsid w:val="000B4526"/>
    <w:rsid w:val="000C4AB4"/>
    <w:rsid w:val="000D7CF7"/>
    <w:rsid w:val="000E6DD4"/>
    <w:rsid w:val="000F621D"/>
    <w:rsid w:val="001028F3"/>
    <w:rsid w:val="00117692"/>
    <w:rsid w:val="00121A22"/>
    <w:rsid w:val="00124D2E"/>
    <w:rsid w:val="001337F7"/>
    <w:rsid w:val="00150ED7"/>
    <w:rsid w:val="001652D0"/>
    <w:rsid w:val="001822E2"/>
    <w:rsid w:val="00186DCE"/>
    <w:rsid w:val="00190F66"/>
    <w:rsid w:val="00192D57"/>
    <w:rsid w:val="001B6EB3"/>
    <w:rsid w:val="001D34D3"/>
    <w:rsid w:val="001D5E37"/>
    <w:rsid w:val="001E4FC1"/>
    <w:rsid w:val="002044BD"/>
    <w:rsid w:val="00240CE0"/>
    <w:rsid w:val="00271B46"/>
    <w:rsid w:val="00277C58"/>
    <w:rsid w:val="002972C9"/>
    <w:rsid w:val="002A2202"/>
    <w:rsid w:val="002A6DBC"/>
    <w:rsid w:val="002B1082"/>
    <w:rsid w:val="002B51C3"/>
    <w:rsid w:val="002D1334"/>
    <w:rsid w:val="002E2165"/>
    <w:rsid w:val="002F117F"/>
    <w:rsid w:val="003134EC"/>
    <w:rsid w:val="00333DF6"/>
    <w:rsid w:val="003817EF"/>
    <w:rsid w:val="003A55DD"/>
    <w:rsid w:val="003B0AF6"/>
    <w:rsid w:val="003C5FAC"/>
    <w:rsid w:val="003E0F76"/>
    <w:rsid w:val="003E5050"/>
    <w:rsid w:val="003F59B7"/>
    <w:rsid w:val="004006BE"/>
    <w:rsid w:val="004049C0"/>
    <w:rsid w:val="004330AC"/>
    <w:rsid w:val="004340F5"/>
    <w:rsid w:val="00434D46"/>
    <w:rsid w:val="00447FE9"/>
    <w:rsid w:val="0047177E"/>
    <w:rsid w:val="004A5E29"/>
    <w:rsid w:val="004C4018"/>
    <w:rsid w:val="0050166F"/>
    <w:rsid w:val="005540F4"/>
    <w:rsid w:val="00555B01"/>
    <w:rsid w:val="00586784"/>
    <w:rsid w:val="005A5334"/>
    <w:rsid w:val="005B0129"/>
    <w:rsid w:val="005C7498"/>
    <w:rsid w:val="005D1874"/>
    <w:rsid w:val="005E4EB2"/>
    <w:rsid w:val="0062437C"/>
    <w:rsid w:val="00680473"/>
    <w:rsid w:val="006C7E8D"/>
    <w:rsid w:val="007007AD"/>
    <w:rsid w:val="00700812"/>
    <w:rsid w:val="00715351"/>
    <w:rsid w:val="00734D6A"/>
    <w:rsid w:val="00736483"/>
    <w:rsid w:val="00786C51"/>
    <w:rsid w:val="00797CAE"/>
    <w:rsid w:val="007A0F96"/>
    <w:rsid w:val="007D0A58"/>
    <w:rsid w:val="007F20D0"/>
    <w:rsid w:val="00820A10"/>
    <w:rsid w:val="00827BFA"/>
    <w:rsid w:val="008458C5"/>
    <w:rsid w:val="00866256"/>
    <w:rsid w:val="00870CF1"/>
    <w:rsid w:val="00872C4F"/>
    <w:rsid w:val="008E3F25"/>
    <w:rsid w:val="00905466"/>
    <w:rsid w:val="00912B54"/>
    <w:rsid w:val="00917B17"/>
    <w:rsid w:val="00934E3B"/>
    <w:rsid w:val="00967E71"/>
    <w:rsid w:val="00971C3D"/>
    <w:rsid w:val="00972793"/>
    <w:rsid w:val="009733A9"/>
    <w:rsid w:val="00983F36"/>
    <w:rsid w:val="00992E21"/>
    <w:rsid w:val="00994C0D"/>
    <w:rsid w:val="009970EA"/>
    <w:rsid w:val="009A4033"/>
    <w:rsid w:val="009D7AF5"/>
    <w:rsid w:val="00A06B99"/>
    <w:rsid w:val="00A07C78"/>
    <w:rsid w:val="00A109D2"/>
    <w:rsid w:val="00A2518E"/>
    <w:rsid w:val="00A34A96"/>
    <w:rsid w:val="00A53374"/>
    <w:rsid w:val="00A710B4"/>
    <w:rsid w:val="00A7194A"/>
    <w:rsid w:val="00AA4030"/>
    <w:rsid w:val="00B23064"/>
    <w:rsid w:val="00B27769"/>
    <w:rsid w:val="00B322C2"/>
    <w:rsid w:val="00B54520"/>
    <w:rsid w:val="00BA24FE"/>
    <w:rsid w:val="00BE1587"/>
    <w:rsid w:val="00BE454D"/>
    <w:rsid w:val="00C134AC"/>
    <w:rsid w:val="00C37834"/>
    <w:rsid w:val="00C37ACB"/>
    <w:rsid w:val="00C8221B"/>
    <w:rsid w:val="00C85EA7"/>
    <w:rsid w:val="00C90CE7"/>
    <w:rsid w:val="00C90EC0"/>
    <w:rsid w:val="00CA0816"/>
    <w:rsid w:val="00CD51B6"/>
    <w:rsid w:val="00CD67FA"/>
    <w:rsid w:val="00D47BEF"/>
    <w:rsid w:val="00D57F43"/>
    <w:rsid w:val="00D64464"/>
    <w:rsid w:val="00DA7B2C"/>
    <w:rsid w:val="00DD23D5"/>
    <w:rsid w:val="00DE5B3C"/>
    <w:rsid w:val="00E15CA3"/>
    <w:rsid w:val="00E24608"/>
    <w:rsid w:val="00E811F8"/>
    <w:rsid w:val="00E87B48"/>
    <w:rsid w:val="00E929B0"/>
    <w:rsid w:val="00E933FF"/>
    <w:rsid w:val="00EA4BBC"/>
    <w:rsid w:val="00EC103B"/>
    <w:rsid w:val="00EC4C64"/>
    <w:rsid w:val="00EC766C"/>
    <w:rsid w:val="00F5226F"/>
    <w:rsid w:val="00F853D1"/>
    <w:rsid w:val="00FC2607"/>
    <w:rsid w:val="00FC46AE"/>
    <w:rsid w:val="00FD33C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FD63"/>
  <w15:docId w15:val="{777C738D-243F-403D-BF05-C1CF2C5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709"/>
      <w:jc w:val="both"/>
      <w:outlineLvl w:val="1"/>
    </w:pPr>
    <w:rPr>
      <w:b/>
      <w:i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1">
    <w:name w:val="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77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778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1D031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F077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9F4C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C44"/>
    <w:pPr>
      <w:widowControl w:val="0"/>
      <w:shd w:val="clear" w:color="auto" w:fill="FFFFFF"/>
      <w:spacing w:before="300" w:after="720" w:line="0" w:lineRule="atLeast"/>
      <w:ind w:hanging="360"/>
      <w:jc w:val="center"/>
    </w:pPr>
    <w:rPr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A234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5032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035C7"/>
    <w:rPr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035C7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EC3870"/>
    <w:pPr>
      <w:spacing w:after="120"/>
      <w:ind w:left="283"/>
    </w:pPr>
    <w:rPr>
      <w:lang w:val="ru-RU"/>
    </w:rPr>
  </w:style>
  <w:style w:type="character" w:customStyle="1" w:styleId="ad">
    <w:name w:val="Основний текст з відступом Знак"/>
    <w:basedOn w:val="a0"/>
    <w:link w:val="ac"/>
    <w:rsid w:val="00EC387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instancename">
    <w:name w:val="instancename"/>
    <w:rsid w:val="00EC3870"/>
  </w:style>
  <w:style w:type="character" w:styleId="ae">
    <w:name w:val="Strong"/>
    <w:uiPriority w:val="22"/>
    <w:qFormat/>
    <w:rsid w:val="00EC3870"/>
    <w:rPr>
      <w:b/>
      <w:bCs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sM6Gay8g4rYojUkDA4+Ml4fPw==">AMUW2mXc0luWnyUILoo2C624fkzBh0cIPdml25cp6y2HpNKnnvhAyUilOvamUofKGfkG2Xn3DKmkho8nCdiT5iqj2jip3moYL2XEMiphRNbYkZ5ac4Ipgqss1ln/GdOnbKOPDLrrWWczgrv7DN5cI5oF9gRUFYiGtjYrB4FvoxLfmJKNSNYnIj0sR8vNIsEMqwxrOc18RxOdxy6c7Ss7tmCVHbVh720ZXkoS1jaJPiX9+ZYFw8XonmToRtkzY5JtxCUwic1fOvdH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5496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Oborska</dc:creator>
  <cp:lastModifiedBy>руслана постой</cp:lastModifiedBy>
  <cp:revision>100</cp:revision>
  <dcterms:created xsi:type="dcterms:W3CDTF">2023-06-16T06:54:00Z</dcterms:created>
  <dcterms:modified xsi:type="dcterms:W3CDTF">2023-06-16T10:46:00Z</dcterms:modified>
</cp:coreProperties>
</file>