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934D" w14:textId="4EE3EBE1" w:rsidR="008214BE" w:rsidRDefault="00684DF3" w:rsidP="003A6A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82D9F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Г</w:t>
      </w:r>
      <w:r w:rsidR="008214BE" w:rsidRPr="00482D9F">
        <w:rPr>
          <w:rFonts w:ascii="Times New Roman" w:hAnsi="Times New Roman" w:cs="Times New Roman"/>
          <w:b/>
          <w:bCs/>
          <w:caps/>
          <w:sz w:val="28"/>
          <w:szCs w:val="28"/>
        </w:rPr>
        <w:t>еоморфологія</w:t>
      </w:r>
    </w:p>
    <w:p w14:paraId="33BE79D7" w14:textId="77777777" w:rsidR="003A6ADD" w:rsidRPr="007E186C" w:rsidRDefault="003A6ADD" w:rsidP="003A6AD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E186C">
        <w:rPr>
          <w:rFonts w:ascii="Times New Roman" w:hAnsi="Times New Roman"/>
          <w:b/>
          <w:sz w:val="28"/>
          <w:szCs w:val="28"/>
        </w:rPr>
        <w:t>Ґрунтознавства та охорони ґрунтів ім. проф. М.К. Шикули</w:t>
      </w:r>
    </w:p>
    <w:p w14:paraId="2D54FF4E" w14:textId="77777777" w:rsidR="003A6ADD" w:rsidRPr="007E186C" w:rsidRDefault="003A6ADD" w:rsidP="003A6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86C">
        <w:rPr>
          <w:rFonts w:ascii="Times New Roman" w:hAnsi="Times New Roman"/>
          <w:b/>
          <w:sz w:val="28"/>
          <w:szCs w:val="28"/>
        </w:rPr>
        <w:t>Факультет агробіологічний</w:t>
      </w:r>
    </w:p>
    <w:p w14:paraId="30D310C7" w14:textId="77777777" w:rsidR="003A6ADD" w:rsidRPr="007E186C" w:rsidRDefault="003A6ADD" w:rsidP="003A6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5763"/>
      </w:tblGrid>
      <w:tr w:rsidR="003A6ADD" w:rsidRPr="007E186C" w14:paraId="3BB488A2" w14:textId="77777777" w:rsidTr="00B660E0">
        <w:tc>
          <w:tcPr>
            <w:tcW w:w="3686" w:type="dxa"/>
            <w:shd w:val="clear" w:color="auto" w:fill="auto"/>
            <w:vAlign w:val="center"/>
          </w:tcPr>
          <w:p w14:paraId="2C377A09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75179A4" w14:textId="4F9D026A" w:rsidR="003A6ADD" w:rsidRPr="003A6ADD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82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Кучер Лариса Іванівна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доцент</w:t>
            </w:r>
          </w:p>
        </w:tc>
      </w:tr>
      <w:tr w:rsidR="003A6ADD" w:rsidRPr="007E186C" w14:paraId="21CF871A" w14:textId="77777777" w:rsidTr="00B660E0">
        <w:tc>
          <w:tcPr>
            <w:tcW w:w="3686" w:type="dxa"/>
            <w:shd w:val="clear" w:color="auto" w:fill="auto"/>
            <w:vAlign w:val="center"/>
          </w:tcPr>
          <w:p w14:paraId="17EA7297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83AC620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3A6ADD" w:rsidRPr="007E186C" w14:paraId="29556378" w14:textId="77777777" w:rsidTr="00B660E0">
        <w:tc>
          <w:tcPr>
            <w:tcW w:w="3686" w:type="dxa"/>
            <w:shd w:val="clear" w:color="auto" w:fill="auto"/>
            <w:vAlign w:val="center"/>
          </w:tcPr>
          <w:p w14:paraId="317EC33E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714F059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3A6ADD" w:rsidRPr="007E186C" w14:paraId="3D5C4562" w14:textId="77777777" w:rsidTr="00B660E0">
        <w:tc>
          <w:tcPr>
            <w:tcW w:w="3686" w:type="dxa"/>
            <w:shd w:val="clear" w:color="auto" w:fill="auto"/>
            <w:vAlign w:val="center"/>
          </w:tcPr>
          <w:p w14:paraId="4BD5C3F7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2CBBE9C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A6ADD" w:rsidRPr="007E186C" w14:paraId="41BA3357" w14:textId="77777777" w:rsidTr="00B660E0">
        <w:tc>
          <w:tcPr>
            <w:tcW w:w="3686" w:type="dxa"/>
            <w:shd w:val="clear" w:color="auto" w:fill="auto"/>
            <w:vAlign w:val="center"/>
          </w:tcPr>
          <w:p w14:paraId="17DE8ADC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F81CD9F" w14:textId="4D88CA26" w:rsidR="003A6ADD" w:rsidRPr="003A6ADD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3A6ADD" w:rsidRPr="007E186C" w14:paraId="46938F14" w14:textId="77777777" w:rsidTr="00B660E0">
        <w:tc>
          <w:tcPr>
            <w:tcW w:w="3686" w:type="dxa"/>
            <w:shd w:val="clear" w:color="auto" w:fill="auto"/>
            <w:vAlign w:val="center"/>
          </w:tcPr>
          <w:p w14:paraId="1F505DA2" w14:textId="77777777" w:rsidR="003A6ADD" w:rsidRPr="007E186C" w:rsidRDefault="003A6ADD" w:rsidP="00B660E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86C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924DF33" w14:textId="2B56F3DF" w:rsidR="003A6ADD" w:rsidRPr="003A6ADD" w:rsidRDefault="003A6ADD" w:rsidP="003A6A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7E186C">
              <w:rPr>
                <w:rFonts w:ascii="Times New Roman" w:hAnsi="Times New Roman"/>
                <w:b/>
                <w:sz w:val="28"/>
                <w:szCs w:val="28"/>
              </w:rPr>
              <w:t xml:space="preserve"> (15 год лекцій, 15 год практичних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</w:tbl>
    <w:p w14:paraId="18DCE557" w14:textId="77777777" w:rsidR="003A6ADD" w:rsidRPr="003A6ADD" w:rsidRDefault="003A6ADD" w:rsidP="00482D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540150" w14:textId="5A13E7FC" w:rsidR="00E0625C" w:rsidRPr="003A6ADD" w:rsidRDefault="00FB4AF2" w:rsidP="003A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D9F">
        <w:rPr>
          <w:rFonts w:ascii="Times New Roman" w:hAnsi="Times New Roman" w:cs="Times New Roman"/>
          <w:sz w:val="28"/>
          <w:szCs w:val="28"/>
          <w:lang w:val="uk-UA"/>
        </w:rPr>
        <w:t xml:space="preserve">Метою навчальної дисципліни «Геоморфологія» є формування у студентів знань про рельєф земної поверхні, впливу </w:t>
      </w:r>
      <w:proofErr w:type="spellStart"/>
      <w:r w:rsidRPr="00482D9F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Pr="00482D9F">
        <w:rPr>
          <w:rFonts w:ascii="Times New Roman" w:hAnsi="Times New Roman" w:cs="Times New Roman"/>
          <w:sz w:val="28"/>
          <w:szCs w:val="28"/>
          <w:lang w:val="uk-UA"/>
        </w:rPr>
        <w:t>- та екзогенних чинників на його формування, генезис, час утворення, його динаміку, а також впливу діяльності людини.</w:t>
      </w:r>
      <w:r w:rsidR="003A6ADD" w:rsidRPr="003A6ADD">
        <w:rPr>
          <w:rFonts w:ascii="Times New Roman" w:hAnsi="Times New Roman" w:cs="Times New Roman"/>
          <w:sz w:val="28"/>
          <w:szCs w:val="28"/>
        </w:rPr>
        <w:t xml:space="preserve"> </w:t>
      </w:r>
      <w:r w:rsidR="006A3769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При вивченні цієї дисципліни студенти зможуть 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ознайомитися з</w:t>
      </w:r>
      <w:r w:rsidR="006A3769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A3769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рельєфу земної поверхні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та їх класифікацією</w:t>
      </w:r>
      <w:r w:rsidR="006A3769" w:rsidRPr="003A6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2CD7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B02CD7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рис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02CD7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поверхні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, гіпсометричною кривою, генезисом і віком рельєфу</w:t>
      </w:r>
      <w:r w:rsidR="00684DF3" w:rsidRPr="003A6A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CD7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Вивчивши дисципліну студент навчиться 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генезис і динаміку рельєфу, 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будувати і аналізувати геолого-геоморфологічні профілі, стратиграфічні розрізи, 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читати 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>геоморфологічні карти</w:t>
      </w:r>
      <w:r w:rsidR="00330910" w:rsidRPr="003A6A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CD7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4F3" w:rsidRPr="003A6ADD">
        <w:rPr>
          <w:rFonts w:ascii="Times New Roman" w:hAnsi="Times New Roman" w:cs="Times New Roman"/>
          <w:sz w:val="28"/>
          <w:szCs w:val="28"/>
          <w:lang w:val="uk-UA"/>
        </w:rPr>
        <w:t>Студенти о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>пану</w:t>
      </w:r>
      <w:r w:rsidR="00AE64F3" w:rsidRPr="003A6AD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навички оцінки придатності </w:t>
      </w:r>
      <w:r w:rsidR="00AE64F3"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ґрунтів на певних формах 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рельєфу для сільськогосподарського використання, проводити </w:t>
      </w:r>
      <w:proofErr w:type="spellStart"/>
      <w:r w:rsidRPr="003A6ADD">
        <w:rPr>
          <w:rFonts w:ascii="Times New Roman" w:hAnsi="Times New Roman" w:cs="Times New Roman"/>
          <w:sz w:val="28"/>
          <w:szCs w:val="28"/>
          <w:lang w:val="uk-UA"/>
        </w:rPr>
        <w:t>морфографічний</w:t>
      </w:r>
      <w:proofErr w:type="spellEnd"/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аналіз рельєфу на основі картографічних матеріалів, фотографій,  космознімків тощо та </w:t>
      </w:r>
      <w:r w:rsidR="00482D9F" w:rsidRPr="003A6ADD">
        <w:rPr>
          <w:rFonts w:ascii="Times New Roman" w:hAnsi="Times New Roman" w:cs="Times New Roman"/>
          <w:sz w:val="28"/>
          <w:szCs w:val="28"/>
          <w:lang w:val="uk-UA"/>
        </w:rPr>
        <w:t>обґрунтовувати</w:t>
      </w:r>
      <w:r w:rsidRPr="003A6ADD">
        <w:rPr>
          <w:rFonts w:ascii="Times New Roman" w:hAnsi="Times New Roman" w:cs="Times New Roman"/>
          <w:sz w:val="28"/>
          <w:szCs w:val="28"/>
          <w:lang w:val="uk-UA"/>
        </w:rPr>
        <w:t xml:space="preserve"> заходи щодо регулювання несприятливих процесів та їх оптимізації.</w:t>
      </w:r>
    </w:p>
    <w:p w14:paraId="7011ACB4" w14:textId="48B7A263" w:rsidR="00FB4AF2" w:rsidRDefault="00FB4AF2" w:rsidP="003A6A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D9F">
        <w:rPr>
          <w:rFonts w:ascii="Times New Roman" w:hAnsi="Times New Roman" w:cs="Times New Roman"/>
          <w:b/>
          <w:bCs/>
          <w:sz w:val="28"/>
          <w:szCs w:val="28"/>
        </w:rPr>
        <w:t>Теми лекційних занять:</w:t>
      </w:r>
    </w:p>
    <w:p w14:paraId="47DD82C3" w14:textId="77777777" w:rsidR="003A6ADD" w:rsidRPr="00482D9F" w:rsidRDefault="003A6ADD" w:rsidP="003A6A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E5184" w14:textId="3708439D" w:rsidR="00330910" w:rsidRPr="00482D9F" w:rsidRDefault="00330910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482D9F">
        <w:rPr>
          <w:sz w:val="28"/>
          <w:szCs w:val="28"/>
          <w:lang w:val="uk-UA"/>
        </w:rPr>
        <w:t xml:space="preserve">Чинники і процеси </w:t>
      </w:r>
      <w:proofErr w:type="spellStart"/>
      <w:r w:rsidRPr="00482D9F">
        <w:rPr>
          <w:sz w:val="28"/>
          <w:szCs w:val="28"/>
          <w:lang w:val="uk-UA"/>
        </w:rPr>
        <w:t>рельєфоутворення</w:t>
      </w:r>
      <w:proofErr w:type="spellEnd"/>
      <w:r w:rsidRPr="00482D9F">
        <w:rPr>
          <w:sz w:val="28"/>
          <w:szCs w:val="28"/>
          <w:lang w:val="uk-UA"/>
        </w:rPr>
        <w:t>. Класифікація форм рельєфу Землі.</w:t>
      </w:r>
    </w:p>
    <w:p w14:paraId="4B4FDBEF" w14:textId="5D8465FD" w:rsidR="006A3769" w:rsidRPr="00482D9F" w:rsidRDefault="00330910" w:rsidP="00482D9F">
      <w:pPr>
        <w:pStyle w:val="22"/>
        <w:numPr>
          <w:ilvl w:val="0"/>
          <w:numId w:val="4"/>
        </w:numPr>
        <w:tabs>
          <w:tab w:val="left" w:pos="1069"/>
          <w:tab w:val="left" w:pos="1429"/>
        </w:tabs>
        <w:spacing w:line="240" w:lineRule="auto"/>
        <w:ind w:left="0" w:firstLine="284"/>
      </w:pPr>
      <w:r w:rsidRPr="00482D9F">
        <w:t>Влив е</w:t>
      </w:r>
      <w:r w:rsidR="006A3769" w:rsidRPr="00482D9F">
        <w:t>ндогенн</w:t>
      </w:r>
      <w:r w:rsidRPr="00482D9F">
        <w:t>их</w:t>
      </w:r>
      <w:r w:rsidR="006A3769" w:rsidRPr="00482D9F">
        <w:t xml:space="preserve"> процес</w:t>
      </w:r>
      <w:r w:rsidRPr="00482D9F">
        <w:t>ів на</w:t>
      </w:r>
      <w:r w:rsidR="006A3769" w:rsidRPr="00482D9F">
        <w:t xml:space="preserve"> рельєф. </w:t>
      </w:r>
    </w:p>
    <w:p w14:paraId="0733D5E0" w14:textId="5353E3D1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Морфоструктурний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рельєф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рівнинних</w:t>
      </w:r>
      <w:proofErr w:type="spellEnd"/>
      <w:r w:rsidRPr="00482D9F">
        <w:rPr>
          <w:sz w:val="28"/>
          <w:szCs w:val="28"/>
        </w:rPr>
        <w:t xml:space="preserve"> областей. </w:t>
      </w:r>
    </w:p>
    <w:p w14:paraId="49061B0F" w14:textId="486BC575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proofErr w:type="spellStart"/>
      <w:r w:rsidRPr="00482D9F">
        <w:rPr>
          <w:sz w:val="28"/>
          <w:szCs w:val="28"/>
        </w:rPr>
        <w:t>Морфоструктурний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рельєф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гірських</w:t>
      </w:r>
      <w:proofErr w:type="spellEnd"/>
      <w:r w:rsidRPr="00482D9F">
        <w:rPr>
          <w:sz w:val="28"/>
          <w:szCs w:val="28"/>
        </w:rPr>
        <w:t xml:space="preserve"> областей. </w:t>
      </w:r>
      <w:proofErr w:type="spellStart"/>
      <w:r w:rsidRPr="00482D9F">
        <w:rPr>
          <w:sz w:val="28"/>
          <w:szCs w:val="28"/>
        </w:rPr>
        <w:t>Геосинклінальні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пояси</w:t>
      </w:r>
      <w:proofErr w:type="spellEnd"/>
      <w:r w:rsidR="00330910" w:rsidRPr="00482D9F">
        <w:rPr>
          <w:sz w:val="28"/>
          <w:szCs w:val="28"/>
        </w:rPr>
        <w:t>.</w:t>
      </w:r>
    </w:p>
    <w:p w14:paraId="6ABBEAEE" w14:textId="6A73718A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Морфоструктури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вулканічного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рельєфу</w:t>
      </w:r>
      <w:proofErr w:type="spellEnd"/>
      <w:r w:rsidR="00330910" w:rsidRPr="00482D9F">
        <w:rPr>
          <w:sz w:val="28"/>
          <w:szCs w:val="28"/>
        </w:rPr>
        <w:t>.</w:t>
      </w:r>
      <w:r w:rsidRPr="00482D9F">
        <w:rPr>
          <w:sz w:val="28"/>
          <w:szCs w:val="28"/>
        </w:rPr>
        <w:t xml:space="preserve"> </w:t>
      </w:r>
    </w:p>
    <w:p w14:paraId="1E1588CD" w14:textId="64AB19F6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Екзодинамічні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процеси</w:t>
      </w:r>
      <w:proofErr w:type="spellEnd"/>
      <w:r w:rsidRPr="00482D9F">
        <w:rPr>
          <w:sz w:val="28"/>
          <w:szCs w:val="28"/>
        </w:rPr>
        <w:t>.</w:t>
      </w:r>
      <w:r w:rsidRPr="00482D9F">
        <w:rPr>
          <w:sz w:val="28"/>
          <w:szCs w:val="28"/>
          <w:lang w:val="uk-UA"/>
        </w:rPr>
        <w:t xml:space="preserve"> </w:t>
      </w:r>
      <w:proofErr w:type="spellStart"/>
      <w:r w:rsidRPr="00482D9F">
        <w:rPr>
          <w:sz w:val="28"/>
          <w:szCs w:val="28"/>
        </w:rPr>
        <w:t>Вивітрювання</w:t>
      </w:r>
      <w:proofErr w:type="spellEnd"/>
      <w:r w:rsidRPr="00482D9F">
        <w:rPr>
          <w:sz w:val="28"/>
          <w:szCs w:val="28"/>
        </w:rPr>
        <w:t xml:space="preserve">. </w:t>
      </w:r>
    </w:p>
    <w:p w14:paraId="5157DC1C" w14:textId="4DA48C09" w:rsidR="00B02CD7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proofErr w:type="spellStart"/>
      <w:r w:rsidRPr="00482D9F">
        <w:rPr>
          <w:sz w:val="28"/>
          <w:szCs w:val="28"/>
        </w:rPr>
        <w:t>Флювіальний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proofErr w:type="gramStart"/>
      <w:r w:rsidRPr="00482D9F">
        <w:rPr>
          <w:sz w:val="28"/>
          <w:szCs w:val="28"/>
        </w:rPr>
        <w:t>рельєф</w:t>
      </w:r>
      <w:proofErr w:type="spellEnd"/>
      <w:r w:rsidR="00330910" w:rsidRPr="00482D9F">
        <w:rPr>
          <w:sz w:val="28"/>
          <w:szCs w:val="28"/>
          <w:lang w:val="uk-UA"/>
        </w:rPr>
        <w:t xml:space="preserve"> </w:t>
      </w:r>
      <w:r w:rsidRPr="00482D9F">
        <w:rPr>
          <w:sz w:val="28"/>
          <w:szCs w:val="28"/>
        </w:rPr>
        <w:t>.</w:t>
      </w:r>
      <w:proofErr w:type="gramEnd"/>
    </w:p>
    <w:p w14:paraId="224C00F9" w14:textId="0E9EE7DA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482D9F">
        <w:rPr>
          <w:sz w:val="28"/>
          <w:szCs w:val="28"/>
          <w:lang w:val="uk-UA"/>
        </w:rPr>
        <w:t xml:space="preserve">Карстовий  та суфозійний рельєф. </w:t>
      </w:r>
    </w:p>
    <w:p w14:paraId="174A3829" w14:textId="2A659830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482D9F">
        <w:rPr>
          <w:sz w:val="28"/>
          <w:szCs w:val="28"/>
          <w:lang w:val="uk-UA"/>
        </w:rPr>
        <w:t>Еолові</w:t>
      </w:r>
      <w:r w:rsidR="00330910" w:rsidRPr="00482D9F">
        <w:rPr>
          <w:sz w:val="28"/>
          <w:szCs w:val="28"/>
          <w:lang w:val="uk-UA"/>
        </w:rPr>
        <w:t xml:space="preserve"> форми </w:t>
      </w:r>
      <w:r w:rsidRPr="00482D9F">
        <w:rPr>
          <w:sz w:val="28"/>
          <w:szCs w:val="28"/>
          <w:lang w:val="uk-UA"/>
        </w:rPr>
        <w:t>рельєф</w:t>
      </w:r>
      <w:r w:rsidR="003A6ADD">
        <w:rPr>
          <w:sz w:val="28"/>
          <w:szCs w:val="28"/>
          <w:lang w:val="uk-UA"/>
        </w:rPr>
        <w:t>у</w:t>
      </w:r>
      <w:r w:rsidR="00330910" w:rsidRPr="00482D9F">
        <w:rPr>
          <w:sz w:val="28"/>
          <w:szCs w:val="28"/>
        </w:rPr>
        <w:t>.</w:t>
      </w:r>
      <w:r w:rsidRPr="00482D9F">
        <w:rPr>
          <w:sz w:val="28"/>
          <w:szCs w:val="28"/>
          <w:lang w:val="uk-UA"/>
        </w:rPr>
        <w:t xml:space="preserve"> </w:t>
      </w:r>
    </w:p>
    <w:p w14:paraId="1C39F634" w14:textId="72519C42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482D9F">
        <w:rPr>
          <w:sz w:val="28"/>
          <w:szCs w:val="28"/>
          <w:lang w:val="uk-UA"/>
        </w:rPr>
        <w:t>Гравітаційн</w:t>
      </w:r>
      <w:r w:rsidR="00330910" w:rsidRPr="00482D9F">
        <w:rPr>
          <w:sz w:val="28"/>
          <w:szCs w:val="28"/>
          <w:lang w:val="uk-UA"/>
        </w:rPr>
        <w:t>і форми</w:t>
      </w:r>
      <w:r w:rsidRPr="00482D9F">
        <w:rPr>
          <w:sz w:val="28"/>
          <w:szCs w:val="28"/>
          <w:lang w:val="uk-UA"/>
        </w:rPr>
        <w:t xml:space="preserve"> рельєф</w:t>
      </w:r>
      <w:r w:rsidR="003A6ADD">
        <w:rPr>
          <w:sz w:val="28"/>
          <w:szCs w:val="28"/>
          <w:lang w:val="uk-UA"/>
        </w:rPr>
        <w:t>у</w:t>
      </w:r>
      <w:r w:rsidR="00330910" w:rsidRPr="00482D9F">
        <w:rPr>
          <w:sz w:val="28"/>
          <w:szCs w:val="28"/>
        </w:rPr>
        <w:t>.</w:t>
      </w:r>
    </w:p>
    <w:p w14:paraId="61770CE5" w14:textId="770771A3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482D9F">
        <w:rPr>
          <w:sz w:val="28"/>
          <w:szCs w:val="28"/>
          <w:lang w:val="uk-UA"/>
        </w:rPr>
        <w:t>Берегов</w:t>
      </w:r>
      <w:r w:rsidR="00330910" w:rsidRPr="00482D9F">
        <w:rPr>
          <w:sz w:val="28"/>
          <w:szCs w:val="28"/>
          <w:lang w:val="uk-UA"/>
        </w:rPr>
        <w:t xml:space="preserve">і форми </w:t>
      </w:r>
      <w:r w:rsidRPr="00482D9F">
        <w:rPr>
          <w:sz w:val="28"/>
          <w:szCs w:val="28"/>
          <w:lang w:val="uk-UA"/>
        </w:rPr>
        <w:t>рельєф</w:t>
      </w:r>
      <w:r w:rsidR="003A6ADD">
        <w:rPr>
          <w:sz w:val="28"/>
          <w:szCs w:val="28"/>
          <w:lang w:val="uk-UA"/>
        </w:rPr>
        <w:t>у</w:t>
      </w:r>
      <w:r w:rsidR="00330910" w:rsidRPr="00482D9F">
        <w:rPr>
          <w:sz w:val="28"/>
          <w:szCs w:val="28"/>
        </w:rPr>
        <w:t>.</w:t>
      </w:r>
      <w:r w:rsidRPr="00482D9F">
        <w:rPr>
          <w:sz w:val="28"/>
          <w:szCs w:val="28"/>
          <w:lang w:val="uk-UA"/>
        </w:rPr>
        <w:t xml:space="preserve"> </w:t>
      </w:r>
    </w:p>
    <w:p w14:paraId="02D53E20" w14:textId="6CB533A6" w:rsidR="006A3769" w:rsidRPr="00482D9F" w:rsidRDefault="006A3769" w:rsidP="00482D9F">
      <w:pPr>
        <w:pStyle w:val="a3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proofErr w:type="gramStart"/>
      <w:r w:rsidRPr="00482D9F">
        <w:rPr>
          <w:sz w:val="28"/>
          <w:szCs w:val="28"/>
        </w:rPr>
        <w:t>Антропогенний</w:t>
      </w:r>
      <w:proofErr w:type="spellEnd"/>
      <w:r w:rsidRPr="00482D9F">
        <w:rPr>
          <w:sz w:val="28"/>
          <w:szCs w:val="28"/>
        </w:rPr>
        <w:t xml:space="preserve">  </w:t>
      </w:r>
      <w:proofErr w:type="spellStart"/>
      <w:r w:rsidRPr="00482D9F">
        <w:rPr>
          <w:sz w:val="28"/>
          <w:szCs w:val="28"/>
        </w:rPr>
        <w:t>рельєф</w:t>
      </w:r>
      <w:proofErr w:type="spellEnd"/>
      <w:proofErr w:type="gramEnd"/>
      <w:r w:rsidR="00330910" w:rsidRPr="00482D9F">
        <w:rPr>
          <w:sz w:val="28"/>
          <w:szCs w:val="28"/>
        </w:rPr>
        <w:t>.</w:t>
      </w:r>
    </w:p>
    <w:p w14:paraId="7D0A152B" w14:textId="5D55CC29" w:rsidR="006A3769" w:rsidRPr="00482D9F" w:rsidRDefault="006A3769" w:rsidP="00482D9F">
      <w:pPr>
        <w:pStyle w:val="a3"/>
        <w:ind w:firstLine="284"/>
        <w:jc w:val="both"/>
        <w:rPr>
          <w:rStyle w:val="2"/>
          <w:lang w:eastAsia="uk-UA"/>
        </w:rPr>
      </w:pPr>
      <w:bookmarkStart w:id="0" w:name="_GoBack"/>
      <w:bookmarkEnd w:id="0"/>
    </w:p>
    <w:p w14:paraId="3FDEA06D" w14:textId="7E8B5692" w:rsidR="006A3769" w:rsidRPr="00482D9F" w:rsidRDefault="006A3769" w:rsidP="003A6ADD">
      <w:pPr>
        <w:spacing w:after="0" w:line="240" w:lineRule="auto"/>
        <w:ind w:firstLine="284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482D9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заняття</w:t>
      </w:r>
      <w:r w:rsidR="00684DF3" w:rsidRPr="00482D9F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:</w:t>
      </w:r>
    </w:p>
    <w:p w14:paraId="7D261D1D" w14:textId="2866F2C8" w:rsidR="006A3769" w:rsidRPr="00482D9F" w:rsidRDefault="00E24816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Визначення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морфометричних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показників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рельєфу</w:t>
      </w:r>
      <w:proofErr w:type="spellEnd"/>
      <w:r w:rsidRPr="00482D9F">
        <w:rPr>
          <w:sz w:val="28"/>
          <w:szCs w:val="28"/>
        </w:rPr>
        <w:t xml:space="preserve"> по </w:t>
      </w:r>
      <w:proofErr w:type="spellStart"/>
      <w:r w:rsidRPr="00482D9F">
        <w:rPr>
          <w:sz w:val="28"/>
          <w:szCs w:val="28"/>
        </w:rPr>
        <w:t>топографічній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карті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заданого</w:t>
      </w:r>
      <w:proofErr w:type="spellEnd"/>
      <w:r w:rsidRPr="00482D9F">
        <w:rPr>
          <w:sz w:val="28"/>
          <w:szCs w:val="28"/>
        </w:rPr>
        <w:t xml:space="preserve"> масштабу</w:t>
      </w:r>
      <w:r w:rsidR="00E60680" w:rsidRPr="00482D9F">
        <w:rPr>
          <w:sz w:val="28"/>
          <w:szCs w:val="28"/>
          <w:lang w:val="uk-UA"/>
        </w:rPr>
        <w:t>.</w:t>
      </w:r>
    </w:p>
    <w:p w14:paraId="054F46A8" w14:textId="71FCF3ED" w:rsidR="006A3769" w:rsidRPr="00482D9F" w:rsidRDefault="00482D9F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lastRenderedPageBreak/>
        <w:t>Побудова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карти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порядків</w:t>
      </w:r>
      <w:proofErr w:type="spellEnd"/>
      <w:r w:rsidRPr="00482D9F">
        <w:rPr>
          <w:sz w:val="28"/>
          <w:szCs w:val="28"/>
        </w:rPr>
        <w:t xml:space="preserve"> долин та </w:t>
      </w:r>
      <w:proofErr w:type="spellStart"/>
      <w:r w:rsidRPr="00482D9F">
        <w:rPr>
          <w:sz w:val="28"/>
          <w:szCs w:val="28"/>
        </w:rPr>
        <w:t>вододільних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ліній</w:t>
      </w:r>
      <w:proofErr w:type="spellEnd"/>
      <w:r w:rsidRPr="00482D9F">
        <w:rPr>
          <w:sz w:val="28"/>
          <w:szCs w:val="28"/>
        </w:rPr>
        <w:t xml:space="preserve">. </w:t>
      </w:r>
      <w:proofErr w:type="spellStart"/>
      <w:r w:rsidRPr="00482D9F">
        <w:rPr>
          <w:sz w:val="28"/>
          <w:szCs w:val="28"/>
        </w:rPr>
        <w:t>Побудова</w:t>
      </w:r>
      <w:proofErr w:type="spellEnd"/>
      <w:r w:rsidRPr="00482D9F">
        <w:rPr>
          <w:sz w:val="28"/>
          <w:szCs w:val="28"/>
        </w:rPr>
        <w:t xml:space="preserve"> карт </w:t>
      </w:r>
      <w:proofErr w:type="spellStart"/>
      <w:r w:rsidRPr="00482D9F">
        <w:rPr>
          <w:sz w:val="28"/>
          <w:szCs w:val="28"/>
        </w:rPr>
        <w:t>базисних</w:t>
      </w:r>
      <w:proofErr w:type="spellEnd"/>
      <w:r w:rsidRPr="00482D9F">
        <w:rPr>
          <w:sz w:val="28"/>
          <w:szCs w:val="28"/>
        </w:rPr>
        <w:t xml:space="preserve">, </w:t>
      </w:r>
      <w:proofErr w:type="spellStart"/>
      <w:r w:rsidRPr="00482D9F">
        <w:rPr>
          <w:sz w:val="28"/>
          <w:szCs w:val="28"/>
        </w:rPr>
        <w:t>вершинних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поверхонь</w:t>
      </w:r>
      <w:proofErr w:type="spellEnd"/>
      <w:r w:rsidR="00E60680" w:rsidRPr="00482D9F">
        <w:rPr>
          <w:sz w:val="28"/>
          <w:szCs w:val="28"/>
          <w:lang w:val="uk-UA"/>
        </w:rPr>
        <w:t>.</w:t>
      </w:r>
    </w:p>
    <w:p w14:paraId="3F9F957F" w14:textId="71279906" w:rsidR="006A3769" w:rsidRPr="00482D9F" w:rsidRDefault="00482D9F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Дешифрування</w:t>
      </w:r>
      <w:proofErr w:type="spellEnd"/>
      <w:r w:rsidRPr="00482D9F">
        <w:rPr>
          <w:sz w:val="28"/>
          <w:szCs w:val="28"/>
        </w:rPr>
        <w:t xml:space="preserve"> форм </w:t>
      </w:r>
      <w:proofErr w:type="spellStart"/>
      <w:r w:rsidRPr="00482D9F">
        <w:rPr>
          <w:sz w:val="28"/>
          <w:szCs w:val="28"/>
        </w:rPr>
        <w:t>рельєфу</w:t>
      </w:r>
      <w:proofErr w:type="spellEnd"/>
      <w:r w:rsidRPr="00482D9F">
        <w:rPr>
          <w:sz w:val="28"/>
          <w:szCs w:val="28"/>
        </w:rPr>
        <w:t xml:space="preserve"> по </w:t>
      </w:r>
      <w:proofErr w:type="spellStart"/>
      <w:r w:rsidRPr="00482D9F">
        <w:rPr>
          <w:sz w:val="28"/>
          <w:szCs w:val="28"/>
        </w:rPr>
        <w:t>космічних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знімках</w:t>
      </w:r>
      <w:proofErr w:type="spellEnd"/>
      <w:r w:rsidR="00E60680" w:rsidRPr="00482D9F">
        <w:rPr>
          <w:sz w:val="28"/>
          <w:szCs w:val="28"/>
          <w:lang w:val="uk-UA"/>
        </w:rPr>
        <w:t>.</w:t>
      </w:r>
    </w:p>
    <w:p w14:paraId="6234E608" w14:textId="736EFA4C" w:rsidR="006A3769" w:rsidRPr="00482D9F" w:rsidRDefault="00482D9F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Вивчення</w:t>
      </w:r>
      <w:proofErr w:type="spellEnd"/>
      <w:r w:rsidRPr="00482D9F">
        <w:rPr>
          <w:sz w:val="28"/>
          <w:szCs w:val="28"/>
        </w:rPr>
        <w:t xml:space="preserve"> та </w:t>
      </w:r>
      <w:proofErr w:type="spellStart"/>
      <w:r w:rsidRPr="00482D9F">
        <w:rPr>
          <w:sz w:val="28"/>
          <w:szCs w:val="28"/>
        </w:rPr>
        <w:t>засвоєння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принципів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побудови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опорних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розрізів</w:t>
      </w:r>
      <w:proofErr w:type="spellEnd"/>
      <w:r w:rsidRPr="00482D9F">
        <w:rPr>
          <w:sz w:val="28"/>
          <w:szCs w:val="28"/>
        </w:rPr>
        <w:t xml:space="preserve"> та карт </w:t>
      </w:r>
      <w:proofErr w:type="spellStart"/>
      <w:r w:rsidRPr="00482D9F">
        <w:rPr>
          <w:sz w:val="28"/>
          <w:szCs w:val="28"/>
        </w:rPr>
        <w:t>четвертинних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відкладів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України</w:t>
      </w:r>
      <w:proofErr w:type="spellEnd"/>
      <w:r w:rsidR="00E60680" w:rsidRPr="00482D9F">
        <w:rPr>
          <w:sz w:val="28"/>
          <w:szCs w:val="28"/>
          <w:lang w:val="uk-UA"/>
        </w:rPr>
        <w:t>.</w:t>
      </w:r>
    </w:p>
    <w:p w14:paraId="5D883E44" w14:textId="61F2F4EC" w:rsidR="00482D9F" w:rsidRPr="00482D9F" w:rsidRDefault="00482D9F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482D9F">
        <w:rPr>
          <w:sz w:val="28"/>
          <w:szCs w:val="28"/>
        </w:rPr>
        <w:t>Побудова</w:t>
      </w:r>
      <w:proofErr w:type="spellEnd"/>
      <w:r w:rsidRPr="00482D9F">
        <w:rPr>
          <w:sz w:val="28"/>
          <w:szCs w:val="28"/>
        </w:rPr>
        <w:t xml:space="preserve"> та </w:t>
      </w:r>
      <w:proofErr w:type="spellStart"/>
      <w:r w:rsidRPr="00482D9F">
        <w:rPr>
          <w:sz w:val="28"/>
          <w:szCs w:val="28"/>
        </w:rPr>
        <w:t>аналіз</w:t>
      </w:r>
      <w:proofErr w:type="spellEnd"/>
      <w:r w:rsidRPr="00482D9F">
        <w:rPr>
          <w:sz w:val="28"/>
          <w:szCs w:val="28"/>
        </w:rPr>
        <w:t xml:space="preserve"> геолого-</w:t>
      </w:r>
      <w:proofErr w:type="spellStart"/>
      <w:r w:rsidRPr="00482D9F">
        <w:rPr>
          <w:sz w:val="28"/>
          <w:szCs w:val="28"/>
        </w:rPr>
        <w:t>геоморфологічного</w:t>
      </w:r>
      <w:proofErr w:type="spellEnd"/>
      <w:r w:rsidRPr="00482D9F">
        <w:rPr>
          <w:sz w:val="28"/>
          <w:szCs w:val="28"/>
        </w:rPr>
        <w:t xml:space="preserve"> </w:t>
      </w:r>
      <w:proofErr w:type="spellStart"/>
      <w:r w:rsidRPr="00482D9F">
        <w:rPr>
          <w:sz w:val="28"/>
          <w:szCs w:val="28"/>
        </w:rPr>
        <w:t>профілю</w:t>
      </w:r>
      <w:proofErr w:type="spellEnd"/>
      <w:r w:rsidRPr="00482D9F">
        <w:rPr>
          <w:sz w:val="28"/>
          <w:szCs w:val="28"/>
          <w:lang w:val="uk-UA"/>
        </w:rPr>
        <w:t>.</w:t>
      </w:r>
    </w:p>
    <w:p w14:paraId="16F41805" w14:textId="170903D5" w:rsidR="00E60680" w:rsidRPr="00482D9F" w:rsidRDefault="00E60680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r w:rsidRPr="00482D9F">
        <w:rPr>
          <w:sz w:val="28"/>
          <w:szCs w:val="28"/>
          <w:lang w:val="uk-UA"/>
        </w:rPr>
        <w:t>Побудова геолого- геоморфологічного</w:t>
      </w:r>
      <w:r w:rsidR="003A6ADD">
        <w:rPr>
          <w:sz w:val="28"/>
          <w:szCs w:val="28"/>
          <w:lang w:val="uk-UA"/>
        </w:rPr>
        <w:t xml:space="preserve"> профілю річкової долини</w:t>
      </w:r>
      <w:r w:rsidRPr="00482D9F">
        <w:rPr>
          <w:sz w:val="28"/>
          <w:szCs w:val="28"/>
          <w:lang w:val="uk-UA"/>
        </w:rPr>
        <w:t>.</w:t>
      </w:r>
    </w:p>
    <w:p w14:paraId="1AEF8F34" w14:textId="783E5BB1" w:rsidR="00E60680" w:rsidRPr="00482D9F" w:rsidRDefault="003A6ADD" w:rsidP="00482D9F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shd w:val="clear" w:color="auto" w:fill="F8F9FA"/>
          <w:lang w:val="uk-UA"/>
        </w:rPr>
        <w:t>Нормальний розріз товщі порід</w:t>
      </w:r>
      <w:r w:rsidR="00E60680" w:rsidRPr="00482D9F">
        <w:rPr>
          <w:sz w:val="28"/>
          <w:szCs w:val="28"/>
          <w:lang w:val="uk-UA"/>
        </w:rPr>
        <w:t>.</w:t>
      </w:r>
    </w:p>
    <w:sectPr w:rsidR="00E60680" w:rsidRPr="0048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2D1"/>
    <w:multiLevelType w:val="hybridMultilevel"/>
    <w:tmpl w:val="8A28862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13BF0"/>
    <w:multiLevelType w:val="hybridMultilevel"/>
    <w:tmpl w:val="34A897D8"/>
    <w:lvl w:ilvl="0" w:tplc="5A2A7642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96643"/>
    <w:multiLevelType w:val="hybridMultilevel"/>
    <w:tmpl w:val="D312099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E72DA9"/>
    <w:multiLevelType w:val="hybridMultilevel"/>
    <w:tmpl w:val="E1D690C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69"/>
    <w:rsid w:val="00032256"/>
    <w:rsid w:val="00330910"/>
    <w:rsid w:val="003A6ADD"/>
    <w:rsid w:val="00482D9F"/>
    <w:rsid w:val="00684DF3"/>
    <w:rsid w:val="006A3769"/>
    <w:rsid w:val="007728CC"/>
    <w:rsid w:val="008214BE"/>
    <w:rsid w:val="00AE64F3"/>
    <w:rsid w:val="00B02CD7"/>
    <w:rsid w:val="00BF2186"/>
    <w:rsid w:val="00D805B1"/>
    <w:rsid w:val="00E0625C"/>
    <w:rsid w:val="00E24816"/>
    <w:rsid w:val="00E60680"/>
    <w:rsid w:val="00FA75FE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76F1"/>
  <w15:chartTrackingRefBased/>
  <w15:docId w15:val="{8D934340-DA40-410C-B2ED-D3441EFB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7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22">
    <w:name w:val="Основной текст с отступом 22"/>
    <w:basedOn w:val="a"/>
    <w:uiPriority w:val="99"/>
    <w:rsid w:val="006A376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A37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A3769"/>
    <w:pPr>
      <w:widowControl w:val="0"/>
      <w:shd w:val="clear" w:color="auto" w:fill="FFFFFF"/>
      <w:spacing w:before="60" w:after="420" w:line="240" w:lineRule="atLeast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FB4AF2"/>
    <w:pPr>
      <w:spacing w:line="256" w:lineRule="auto"/>
      <w:ind w:left="720"/>
      <w:contextualSpacing/>
    </w:pPr>
    <w:rPr>
      <w:kern w:val="0"/>
      <w:lang w:val="uk-UA"/>
      <w14:ligatures w14:val="none"/>
    </w:rPr>
  </w:style>
  <w:style w:type="character" w:styleId="a5">
    <w:name w:val="Strong"/>
    <w:basedOn w:val="a0"/>
    <w:uiPriority w:val="22"/>
    <w:qFormat/>
    <w:rsid w:val="00E60680"/>
    <w:rPr>
      <w:b/>
      <w:bCs/>
    </w:rPr>
  </w:style>
  <w:style w:type="character" w:styleId="a6">
    <w:name w:val="Hyperlink"/>
    <w:basedOn w:val="a0"/>
    <w:uiPriority w:val="99"/>
    <w:semiHidden/>
    <w:unhideWhenUsed/>
    <w:rsid w:val="00E60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user</cp:lastModifiedBy>
  <cp:revision>6</cp:revision>
  <dcterms:created xsi:type="dcterms:W3CDTF">2023-10-25T12:22:00Z</dcterms:created>
  <dcterms:modified xsi:type="dcterms:W3CDTF">2023-10-26T12:35:00Z</dcterms:modified>
</cp:coreProperties>
</file>