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5E" w:rsidRPr="00B603DF" w:rsidRDefault="00113F5E" w:rsidP="0011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DF">
        <w:rPr>
          <w:rFonts w:ascii="Times New Roman" w:hAnsi="Times New Roman" w:cs="Times New Roman"/>
          <w:b/>
          <w:sz w:val="28"/>
          <w:szCs w:val="28"/>
        </w:rPr>
        <w:t>КАРТОГРАФУВАННЯ ГРУНТОВОГО ВКРИТТЯ</w:t>
      </w:r>
    </w:p>
    <w:p w:rsidR="007A0A06" w:rsidRDefault="007A0A06" w:rsidP="0011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A06" w:rsidRDefault="007A0A06" w:rsidP="0011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r w:rsidRPr="007E186C">
        <w:rPr>
          <w:rFonts w:ascii="Times New Roman" w:hAnsi="Times New Roman"/>
          <w:b/>
          <w:sz w:val="28"/>
          <w:szCs w:val="28"/>
        </w:rPr>
        <w:t>рунтознавства</w:t>
      </w:r>
      <w:proofErr w:type="spellEnd"/>
      <w:r w:rsidRPr="007E186C">
        <w:rPr>
          <w:rFonts w:ascii="Times New Roman" w:hAnsi="Times New Roman"/>
          <w:b/>
          <w:sz w:val="28"/>
          <w:szCs w:val="28"/>
        </w:rPr>
        <w:t xml:space="preserve"> та охорони ґрунтів ім. проф. М.К. Шикули</w:t>
      </w:r>
      <w:bookmarkStart w:id="0" w:name="_GoBack"/>
      <w:bookmarkEnd w:id="0"/>
    </w:p>
    <w:p w:rsidR="00113F5E" w:rsidRPr="00B603DF" w:rsidRDefault="00113F5E" w:rsidP="0011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DF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113F5E" w:rsidRPr="00B603DF" w:rsidRDefault="00113F5E" w:rsidP="0011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113F5E" w:rsidRPr="00B603DF" w:rsidTr="00B660E0">
        <w:tc>
          <w:tcPr>
            <w:tcW w:w="3686" w:type="dxa"/>
            <w:vAlign w:val="center"/>
          </w:tcPr>
          <w:p w:rsidR="00113F5E" w:rsidRPr="00B603DF" w:rsidRDefault="00113F5E" w:rsidP="00B660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113F5E" w:rsidRPr="00B603DF" w:rsidRDefault="00113F5E" w:rsidP="00B66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sz w:val="28"/>
                <w:szCs w:val="28"/>
              </w:rPr>
              <w:t>Кравченко Юрій Станіславович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113F5E" w:rsidRPr="00B603DF" w:rsidTr="00B660E0">
        <w:tc>
          <w:tcPr>
            <w:tcW w:w="3686" w:type="dxa"/>
            <w:vAlign w:val="center"/>
          </w:tcPr>
          <w:p w:rsidR="00113F5E" w:rsidRPr="00B603DF" w:rsidRDefault="00113F5E" w:rsidP="00B660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113F5E" w:rsidRPr="00B603DF" w:rsidRDefault="00113F5E" w:rsidP="00B66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13F5E" w:rsidRPr="00B603DF" w:rsidTr="00B660E0">
        <w:tc>
          <w:tcPr>
            <w:tcW w:w="3686" w:type="dxa"/>
            <w:vAlign w:val="center"/>
          </w:tcPr>
          <w:p w:rsidR="00113F5E" w:rsidRPr="00B603DF" w:rsidRDefault="00113F5E" w:rsidP="00B660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113F5E" w:rsidRPr="00B603DF" w:rsidRDefault="00113F5E" w:rsidP="00B66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113F5E" w:rsidRPr="00B603DF" w:rsidTr="00B660E0">
        <w:tc>
          <w:tcPr>
            <w:tcW w:w="3686" w:type="dxa"/>
            <w:vAlign w:val="center"/>
          </w:tcPr>
          <w:p w:rsidR="00113F5E" w:rsidRPr="00B603DF" w:rsidRDefault="00113F5E" w:rsidP="00B660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113F5E" w:rsidRPr="00B603DF" w:rsidRDefault="00113F5E" w:rsidP="00B66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13F5E" w:rsidRPr="00B603DF" w:rsidTr="00B660E0">
        <w:tc>
          <w:tcPr>
            <w:tcW w:w="3686" w:type="dxa"/>
            <w:vAlign w:val="center"/>
          </w:tcPr>
          <w:p w:rsidR="00113F5E" w:rsidRPr="00B603DF" w:rsidRDefault="00113F5E" w:rsidP="00B660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113F5E" w:rsidRPr="00B603DF" w:rsidRDefault="00113F5E" w:rsidP="00B66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113F5E" w:rsidRPr="00B603DF" w:rsidTr="00B660E0">
        <w:tc>
          <w:tcPr>
            <w:tcW w:w="3686" w:type="dxa"/>
            <w:vAlign w:val="center"/>
          </w:tcPr>
          <w:p w:rsidR="00113F5E" w:rsidRPr="00B603DF" w:rsidRDefault="00113F5E" w:rsidP="00B660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113F5E" w:rsidRPr="00B603DF" w:rsidRDefault="00113F5E" w:rsidP="00113F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  <w:r w:rsidRPr="00B60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B60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30 год практичних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03DF">
              <w:rPr>
                <w:rFonts w:ascii="Times New Roman" w:hAnsi="Times New Roman" w:cs="Times New Roman"/>
                <w:b/>
                <w:sz w:val="28"/>
                <w:szCs w:val="28"/>
              </w:rPr>
              <w:t>робіт)</w:t>
            </w:r>
          </w:p>
        </w:tc>
      </w:tr>
    </w:tbl>
    <w:p w:rsidR="00113F5E" w:rsidRPr="00B603DF" w:rsidRDefault="00113F5E" w:rsidP="00113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F5E" w:rsidRPr="00B603DF" w:rsidRDefault="00113F5E" w:rsidP="00113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F5E" w:rsidRPr="00B603DF" w:rsidRDefault="00113F5E" w:rsidP="00113F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3DF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113F5E" w:rsidRPr="00B603DF" w:rsidRDefault="00113F5E" w:rsidP="00113F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3DF">
        <w:rPr>
          <w:rFonts w:ascii="Times New Roman" w:hAnsi="Times New Roman" w:cs="Times New Roman"/>
          <w:i/>
          <w:sz w:val="28"/>
          <w:szCs w:val="28"/>
        </w:rPr>
        <w:t xml:space="preserve">ГІС і картування в агрономії є унікальною дисципліною вивчення якої дозволить студентам розуміти, створювати та використовувати різні картографічні твори. У розділі загальної картографії пропонується ознайомлення із різними типами карт, картографічними проекціями, масштабами, підписами, умовними знаками карт, розграфленням і номенклатурою карт. Студенти ознайомляться із GPS позиціонуванням, навчяться визначати координати об’єктів у градусній та прямокутній системі координат, прив’язувати об’єкти на топографічній карті або місцевості за азимутальними напрямами. Особлива увага даної дисципліни приділяється створенню польової і цифрової карти ґрунтів, картограм і тематичних карт за результатами польових досліджень або за даними фондових матеріалів. Слухачі курсу будуть вміти застосовувати матеріали ґрунтово-картографічних досліджень для: обліку площ сільськогосподарських земель, землевпорядкування, розробки технологій обробітку ґрунту, системи удобрення, планування сівозмін, визначення адаптованих сортів та технологій рослинництва під конкретний ґрунт або </w:t>
      </w:r>
      <w:proofErr w:type="spellStart"/>
      <w:r w:rsidRPr="00B603DF">
        <w:rPr>
          <w:rFonts w:ascii="Times New Roman" w:hAnsi="Times New Roman" w:cs="Times New Roman"/>
          <w:i/>
          <w:sz w:val="28"/>
          <w:szCs w:val="28"/>
        </w:rPr>
        <w:t>агрогрупу</w:t>
      </w:r>
      <w:proofErr w:type="spellEnd"/>
      <w:r w:rsidRPr="00B603DF">
        <w:rPr>
          <w:rFonts w:ascii="Times New Roman" w:hAnsi="Times New Roman" w:cs="Times New Roman"/>
          <w:i/>
          <w:sz w:val="28"/>
          <w:szCs w:val="28"/>
        </w:rPr>
        <w:t xml:space="preserve">, розробки меліоративних та інших заходів із охорони та збереження родючості ґрунтів, проведення оцінювання якості ґрунтів, </w:t>
      </w:r>
      <w:proofErr w:type="spellStart"/>
      <w:r w:rsidRPr="00B603DF">
        <w:rPr>
          <w:rFonts w:ascii="Times New Roman" w:hAnsi="Times New Roman" w:cs="Times New Roman"/>
          <w:i/>
          <w:sz w:val="28"/>
          <w:szCs w:val="28"/>
        </w:rPr>
        <w:t>бонітувального</w:t>
      </w:r>
      <w:proofErr w:type="spellEnd"/>
      <w:r w:rsidRPr="00B603DF">
        <w:rPr>
          <w:rFonts w:ascii="Times New Roman" w:hAnsi="Times New Roman" w:cs="Times New Roman"/>
          <w:i/>
          <w:sz w:val="28"/>
          <w:szCs w:val="28"/>
        </w:rPr>
        <w:t xml:space="preserve"> та економічного оцінювання земель, тощо.</w:t>
      </w:r>
    </w:p>
    <w:p w:rsidR="00113F5E" w:rsidRPr="00B603DF" w:rsidRDefault="00113F5E" w:rsidP="0011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F5E" w:rsidRPr="00B603DF" w:rsidRDefault="00113F5E" w:rsidP="0011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DF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Картографія як наука, її структура та місце в системі наук.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Загальні відомості про географічну оболонку Землі і геосистеми.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Математична і картографічна основа карт.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 xml:space="preserve">Зміст топографічних і географічних карт. 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Тематичні карти і картограми.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 xml:space="preserve">Методологія проведення </w:t>
      </w:r>
      <w:proofErr w:type="spellStart"/>
      <w:r w:rsidRPr="00B603DF">
        <w:rPr>
          <w:rFonts w:ascii="Times New Roman" w:hAnsi="Times New Roman" w:cs="Times New Roman"/>
          <w:sz w:val="28"/>
          <w:szCs w:val="28"/>
        </w:rPr>
        <w:t>геопросторових</w:t>
      </w:r>
      <w:proofErr w:type="spellEnd"/>
      <w:r w:rsidRPr="00B603DF">
        <w:rPr>
          <w:rFonts w:ascii="Times New Roman" w:hAnsi="Times New Roman" w:cs="Times New Roman"/>
          <w:sz w:val="28"/>
          <w:szCs w:val="28"/>
        </w:rPr>
        <w:t xml:space="preserve"> досліджень в агрономії.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Підготовчий період картування ґрунтів.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Польовий період картування ґрунтів.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Камеральний період.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Проектування й складання карт.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 xml:space="preserve">Представлення </w:t>
      </w:r>
      <w:r w:rsidRPr="00B603DF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Pr="00B603DF">
        <w:rPr>
          <w:rFonts w:ascii="Times New Roman" w:hAnsi="Times New Roman" w:cs="Times New Roman"/>
          <w:sz w:val="28"/>
          <w:szCs w:val="28"/>
        </w:rPr>
        <w:t>організація</w:t>
      </w:r>
      <w:r w:rsidRPr="00B603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03DF">
        <w:rPr>
          <w:rFonts w:ascii="Times New Roman" w:hAnsi="Times New Roman" w:cs="Times New Roman"/>
          <w:sz w:val="28"/>
          <w:szCs w:val="28"/>
        </w:rPr>
        <w:t>графічної інформації в ГІС.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Методичні основи створення бази даних ГІС.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Сутність, об’єкти і атрибути ГІС.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lastRenderedPageBreak/>
        <w:t>Концепція векторних та растрових ГІС.</w:t>
      </w:r>
    </w:p>
    <w:p w:rsidR="00113F5E" w:rsidRPr="00B603DF" w:rsidRDefault="00113F5E" w:rsidP="00113F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Застосування ГІС технологій в агрономії.</w:t>
      </w:r>
    </w:p>
    <w:p w:rsidR="00113F5E" w:rsidRPr="00B603DF" w:rsidRDefault="00113F5E" w:rsidP="00113F5E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13F5E" w:rsidRPr="00B603DF" w:rsidRDefault="00113F5E" w:rsidP="0011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DF">
        <w:rPr>
          <w:rFonts w:ascii="Times New Roman" w:hAnsi="Times New Roman" w:cs="Times New Roman"/>
          <w:b/>
          <w:sz w:val="28"/>
          <w:szCs w:val="28"/>
        </w:rPr>
        <w:t>Теми практичних занять:</w:t>
      </w:r>
    </w:p>
    <w:p w:rsidR="00113F5E" w:rsidRPr="00B603DF" w:rsidRDefault="00113F5E" w:rsidP="00113F5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03DF">
        <w:rPr>
          <w:rFonts w:ascii="Times New Roman" w:hAnsi="Times New Roman" w:cs="Times New Roman"/>
          <w:sz w:val="28"/>
          <w:szCs w:val="28"/>
        </w:rPr>
        <w:t>итання</w:t>
      </w:r>
      <w:proofErr w:type="spellEnd"/>
      <w:r w:rsidRPr="00B603DF">
        <w:rPr>
          <w:rFonts w:ascii="Times New Roman" w:hAnsi="Times New Roman" w:cs="Times New Roman"/>
          <w:sz w:val="28"/>
          <w:szCs w:val="28"/>
        </w:rPr>
        <w:t xml:space="preserve"> топографічних і географічних карт.</w:t>
      </w:r>
    </w:p>
    <w:p w:rsidR="00113F5E" w:rsidRPr="00B603DF" w:rsidRDefault="00113F5E" w:rsidP="00113F5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Координати точки на місцевості, визначення азимутів і масштабів.</w:t>
      </w:r>
    </w:p>
    <w:p w:rsidR="00113F5E" w:rsidRPr="00B603DF" w:rsidRDefault="00113F5E" w:rsidP="00113F5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Умовні знаки карт.</w:t>
      </w:r>
    </w:p>
    <w:p w:rsidR="00113F5E" w:rsidRPr="00B603DF" w:rsidRDefault="00113F5E" w:rsidP="00113F5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Створення електронної карти та прив’язка растрового зображення в програмі «ГИС-карта 2008».</w:t>
      </w:r>
    </w:p>
    <w:p w:rsidR="00113F5E" w:rsidRPr="00B603DF" w:rsidRDefault="00113F5E" w:rsidP="00113F5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03DF">
        <w:rPr>
          <w:rFonts w:ascii="Times New Roman" w:hAnsi="Times New Roman" w:cs="Times New Roman"/>
          <w:sz w:val="28"/>
          <w:szCs w:val="28"/>
        </w:rPr>
        <w:t>Відцифровка</w:t>
      </w:r>
      <w:proofErr w:type="spellEnd"/>
      <w:r w:rsidRPr="00B603DF">
        <w:rPr>
          <w:rFonts w:ascii="Times New Roman" w:hAnsi="Times New Roman" w:cs="Times New Roman"/>
          <w:sz w:val="28"/>
          <w:szCs w:val="28"/>
        </w:rPr>
        <w:t xml:space="preserve"> зображення топографічної карти в програмі «ГИС-карта 2008».</w:t>
      </w:r>
    </w:p>
    <w:p w:rsidR="00113F5E" w:rsidRPr="00B603DF" w:rsidRDefault="00113F5E" w:rsidP="00113F5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 xml:space="preserve">Побудова поперечного профілю на </w:t>
      </w:r>
      <w:proofErr w:type="spellStart"/>
      <w:r w:rsidRPr="00B603DF">
        <w:rPr>
          <w:rFonts w:ascii="Times New Roman" w:hAnsi="Times New Roman" w:cs="Times New Roman"/>
          <w:sz w:val="28"/>
          <w:szCs w:val="28"/>
        </w:rPr>
        <w:t>відцифрованій</w:t>
      </w:r>
      <w:proofErr w:type="spellEnd"/>
      <w:r w:rsidRPr="00B603DF">
        <w:rPr>
          <w:rFonts w:ascii="Times New Roman" w:hAnsi="Times New Roman" w:cs="Times New Roman"/>
          <w:sz w:val="28"/>
          <w:szCs w:val="28"/>
        </w:rPr>
        <w:t xml:space="preserve"> топографічній карті в програмі «ГИС-карта 2008».</w:t>
      </w:r>
    </w:p>
    <w:p w:rsidR="00113F5E" w:rsidRPr="00B603DF" w:rsidRDefault="00113F5E" w:rsidP="00113F5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 xml:space="preserve">Побудова у програмі «ГИС-карта 2008» цифрової моделі рельєфу (ЦМР) території дослідження (матриці висот) при використанні даних з сервісу </w:t>
      </w:r>
      <w:proofErr w:type="spellStart"/>
      <w:r w:rsidRPr="00B603D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60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3DF">
        <w:rPr>
          <w:rFonts w:ascii="Times New Roman" w:hAnsi="Times New Roman" w:cs="Times New Roman"/>
          <w:sz w:val="28"/>
          <w:szCs w:val="28"/>
        </w:rPr>
        <w:t>Earth</w:t>
      </w:r>
      <w:proofErr w:type="spellEnd"/>
      <w:r w:rsidRPr="00B603DF">
        <w:rPr>
          <w:rFonts w:ascii="Times New Roman" w:hAnsi="Times New Roman" w:cs="Times New Roman"/>
          <w:sz w:val="28"/>
          <w:szCs w:val="28"/>
        </w:rPr>
        <w:t>.</w:t>
      </w:r>
    </w:p>
    <w:p w:rsidR="00113F5E" w:rsidRPr="00B603DF" w:rsidRDefault="00113F5E" w:rsidP="00113F5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 xml:space="preserve">Виділення </w:t>
      </w:r>
      <w:proofErr w:type="spellStart"/>
      <w:r w:rsidRPr="00B603DF">
        <w:rPr>
          <w:rFonts w:ascii="Times New Roman" w:hAnsi="Times New Roman" w:cs="Times New Roman"/>
          <w:sz w:val="28"/>
          <w:szCs w:val="28"/>
        </w:rPr>
        <w:t>грунтових</w:t>
      </w:r>
      <w:proofErr w:type="spellEnd"/>
      <w:r w:rsidRPr="00B603DF">
        <w:rPr>
          <w:rFonts w:ascii="Times New Roman" w:hAnsi="Times New Roman" w:cs="Times New Roman"/>
          <w:sz w:val="28"/>
          <w:szCs w:val="28"/>
        </w:rPr>
        <w:t xml:space="preserve"> контурів та вимірювання їх площ з врахуванням рельєфу в програмі «ГИС-карта 2008».</w:t>
      </w:r>
    </w:p>
    <w:p w:rsidR="00113F5E" w:rsidRPr="00B603DF" w:rsidRDefault="00113F5E" w:rsidP="00113F5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3DF">
        <w:rPr>
          <w:rFonts w:ascii="Times New Roman" w:hAnsi="Times New Roman" w:cs="Times New Roman"/>
          <w:sz w:val="28"/>
          <w:szCs w:val="28"/>
        </w:rPr>
        <w:t>Створення картограм (матриць якості) у програмі «ГИС-карта 2008».</w:t>
      </w:r>
    </w:p>
    <w:p w:rsidR="00FD236A" w:rsidRDefault="00FD236A"/>
    <w:sectPr w:rsidR="00FD23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A02C608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DE3C46A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CD"/>
    <w:rsid w:val="00113F5E"/>
    <w:rsid w:val="004F18CD"/>
    <w:rsid w:val="007A0A06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1C22"/>
  <w15:chartTrackingRefBased/>
  <w15:docId w15:val="{048ECE8C-38D8-4CAB-9C98-96BD5971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F5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F5E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1905</Words>
  <Characters>1087</Characters>
  <Application>Microsoft Office Word</Application>
  <DocSecurity>0</DocSecurity>
  <Lines>9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2023-10-26T05:22:00Z</dcterms:created>
  <dcterms:modified xsi:type="dcterms:W3CDTF">2023-10-27T10:42:00Z</dcterms:modified>
</cp:coreProperties>
</file>