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CEFEC" w14:textId="77777777" w:rsidR="008D3875" w:rsidRPr="00EC4EAD" w:rsidRDefault="008D3875" w:rsidP="008D3875">
      <w:pPr>
        <w:spacing w:after="160" w:line="259" w:lineRule="auto"/>
        <w:jc w:val="center"/>
        <w:rPr>
          <w:rFonts w:eastAsia="Calibri" w:cs="Times New Roman"/>
          <w:b/>
          <w:color w:val="000000"/>
          <w:sz w:val="24"/>
          <w:szCs w:val="24"/>
          <w:u w:val="single"/>
        </w:rPr>
      </w:pPr>
      <w:r w:rsidRPr="00EC4EAD">
        <w:rPr>
          <w:rFonts w:eastAsia="Calibri" w:cs="Times New Roman"/>
          <w:b/>
          <w:color w:val="000000"/>
          <w:sz w:val="24"/>
          <w:szCs w:val="24"/>
        </w:rPr>
        <w:t>КОМП’ЮТЕРНА ДІАГНОСТИКА ТРАКТОРІВ ТА АВТОМОБІЛІВ</w:t>
      </w:r>
    </w:p>
    <w:p w14:paraId="339D1776" w14:textId="77777777" w:rsidR="008D3875" w:rsidRPr="00EC4EAD" w:rsidRDefault="008D3875" w:rsidP="008D3875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14:paraId="2C99E4D5" w14:textId="77777777" w:rsidR="008D3875" w:rsidRPr="00EC4EAD" w:rsidRDefault="008D3875" w:rsidP="008D3875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  <w:r w:rsidRPr="00EC4EAD">
        <w:rPr>
          <w:rFonts w:eastAsia="Calibri" w:cs="Times New Roman"/>
          <w:b/>
          <w:color w:val="000000"/>
          <w:sz w:val="24"/>
          <w:szCs w:val="24"/>
        </w:rPr>
        <w:t xml:space="preserve">Кафедра тракторів, автомобілів та </w:t>
      </w:r>
      <w:proofErr w:type="spellStart"/>
      <w:r w:rsidRPr="00EC4EAD">
        <w:rPr>
          <w:rFonts w:eastAsia="Calibri" w:cs="Times New Roman"/>
          <w:b/>
          <w:color w:val="000000"/>
          <w:sz w:val="24"/>
          <w:szCs w:val="24"/>
        </w:rPr>
        <w:t>біоенергоресурсів</w:t>
      </w:r>
      <w:proofErr w:type="spellEnd"/>
    </w:p>
    <w:p w14:paraId="26EC867D" w14:textId="77777777" w:rsidR="008D3875" w:rsidRPr="00EC4EAD" w:rsidRDefault="008D3875" w:rsidP="008D3875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  <w:u w:val="single"/>
        </w:rPr>
      </w:pPr>
    </w:p>
    <w:p w14:paraId="5AF02B59" w14:textId="77777777" w:rsidR="008D3875" w:rsidRPr="00EC4EAD" w:rsidRDefault="008D3875" w:rsidP="008D3875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  <w:r w:rsidRPr="00EC4EAD">
        <w:rPr>
          <w:rFonts w:eastAsia="Calibri" w:cs="Times New Roman"/>
          <w:b/>
          <w:color w:val="000000"/>
          <w:sz w:val="24"/>
          <w:szCs w:val="24"/>
        </w:rPr>
        <w:t>Механіко-технологічний факультет</w:t>
      </w:r>
    </w:p>
    <w:p w14:paraId="4ABBC92D" w14:textId="77777777" w:rsidR="008D3875" w:rsidRPr="00EC4EAD" w:rsidRDefault="008D3875" w:rsidP="008D3875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tbl>
      <w:tblPr>
        <w:tblStyle w:val="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8D3875" w:rsidRPr="00EC4EAD" w14:paraId="4F1D973D" w14:textId="77777777" w:rsidTr="00223AB2">
        <w:tc>
          <w:tcPr>
            <w:tcW w:w="3369" w:type="dxa"/>
            <w:vAlign w:val="center"/>
          </w:tcPr>
          <w:p w14:paraId="2121A701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Лектор</w:t>
            </w:r>
          </w:p>
        </w:tc>
        <w:tc>
          <w:tcPr>
            <w:tcW w:w="6378" w:type="dxa"/>
            <w:vAlign w:val="center"/>
          </w:tcPr>
          <w:p w14:paraId="23109B2B" w14:textId="66F22A2F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C4EAD">
              <w:rPr>
                <w:rFonts w:eastAsia="Calibri" w:cs="Times New Roman"/>
                <w:b/>
                <w:color w:val="000000"/>
                <w:sz w:val="24"/>
                <w:szCs w:val="24"/>
              </w:rPr>
              <w:t>Романченко</w:t>
            </w:r>
            <w:proofErr w:type="spellEnd"/>
            <w:r w:rsidRPr="00EC4EAD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Володимир Миколайович</w:t>
            </w:r>
            <w:r w:rsidR="00223AB2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, к. </w:t>
            </w:r>
            <w:proofErr w:type="spellStart"/>
            <w:r w:rsidR="00223AB2">
              <w:rPr>
                <w:rFonts w:eastAsia="Calibri" w:cs="Times New Roman"/>
                <w:b/>
                <w:color w:val="000000"/>
                <w:sz w:val="24"/>
                <w:szCs w:val="24"/>
              </w:rPr>
              <w:t>тех</w:t>
            </w:r>
            <w:proofErr w:type="spellEnd"/>
            <w:r w:rsidR="00223AB2">
              <w:rPr>
                <w:rFonts w:eastAsia="Calibri" w:cs="Times New Roman"/>
                <w:b/>
                <w:color w:val="000000"/>
                <w:sz w:val="24"/>
                <w:szCs w:val="24"/>
              </w:rPr>
              <w:t>. н., доцент</w:t>
            </w:r>
          </w:p>
        </w:tc>
      </w:tr>
      <w:tr w:rsidR="008D3875" w:rsidRPr="00EC4EAD" w14:paraId="4BDDF72F" w14:textId="77777777" w:rsidTr="00223AB2">
        <w:tc>
          <w:tcPr>
            <w:tcW w:w="3369" w:type="dxa"/>
            <w:vAlign w:val="center"/>
          </w:tcPr>
          <w:p w14:paraId="3D3FD81A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6378" w:type="dxa"/>
            <w:vAlign w:val="center"/>
          </w:tcPr>
          <w:p w14:paraId="55522839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8D3875" w:rsidRPr="00EC4EAD" w14:paraId="0E08B721" w14:textId="77777777" w:rsidTr="00223AB2">
        <w:tc>
          <w:tcPr>
            <w:tcW w:w="3369" w:type="dxa"/>
            <w:vAlign w:val="center"/>
          </w:tcPr>
          <w:p w14:paraId="1D60B62B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Освітній ступінь</w:t>
            </w:r>
          </w:p>
        </w:tc>
        <w:tc>
          <w:tcPr>
            <w:tcW w:w="6378" w:type="dxa"/>
            <w:vAlign w:val="center"/>
          </w:tcPr>
          <w:p w14:paraId="22395F46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color w:val="000000"/>
                <w:sz w:val="24"/>
                <w:szCs w:val="24"/>
              </w:rPr>
              <w:t>Бакалавр</w:t>
            </w:r>
          </w:p>
        </w:tc>
      </w:tr>
      <w:tr w:rsidR="008D3875" w:rsidRPr="00EC4EAD" w14:paraId="1EEF77DA" w14:textId="77777777" w:rsidTr="00223AB2">
        <w:tc>
          <w:tcPr>
            <w:tcW w:w="3369" w:type="dxa"/>
            <w:vAlign w:val="center"/>
          </w:tcPr>
          <w:p w14:paraId="7F663763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Кількість кредитів ЄКТС</w:t>
            </w:r>
          </w:p>
        </w:tc>
        <w:tc>
          <w:tcPr>
            <w:tcW w:w="6378" w:type="dxa"/>
            <w:vAlign w:val="center"/>
          </w:tcPr>
          <w:p w14:paraId="0F67DF55" w14:textId="3D193CE5" w:rsidR="008D3875" w:rsidRPr="00EC4EAD" w:rsidRDefault="003C4A02" w:rsidP="008D3875">
            <w:pPr>
              <w:spacing w:after="0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8D3875" w:rsidRPr="00EC4EAD" w14:paraId="20DD608C" w14:textId="77777777" w:rsidTr="00223AB2">
        <w:tc>
          <w:tcPr>
            <w:tcW w:w="3369" w:type="dxa"/>
            <w:vAlign w:val="center"/>
          </w:tcPr>
          <w:p w14:paraId="63D5B3F8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Форма контролю</w:t>
            </w:r>
          </w:p>
        </w:tc>
        <w:tc>
          <w:tcPr>
            <w:tcW w:w="6378" w:type="dxa"/>
            <w:vAlign w:val="center"/>
          </w:tcPr>
          <w:p w14:paraId="18661FC4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color w:val="000000"/>
                <w:sz w:val="24"/>
                <w:szCs w:val="24"/>
              </w:rPr>
              <w:t>Залік</w:t>
            </w:r>
          </w:p>
        </w:tc>
      </w:tr>
      <w:tr w:rsidR="008D3875" w:rsidRPr="00EC4EAD" w14:paraId="0A134567" w14:textId="77777777" w:rsidTr="00223AB2">
        <w:tc>
          <w:tcPr>
            <w:tcW w:w="3369" w:type="dxa"/>
            <w:vAlign w:val="center"/>
          </w:tcPr>
          <w:p w14:paraId="67CD9321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Аудиторні години</w:t>
            </w:r>
          </w:p>
        </w:tc>
        <w:tc>
          <w:tcPr>
            <w:tcW w:w="6378" w:type="dxa"/>
            <w:vAlign w:val="center"/>
          </w:tcPr>
          <w:p w14:paraId="549242A3" w14:textId="12CA23EE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color w:val="000000"/>
                <w:sz w:val="24"/>
                <w:szCs w:val="24"/>
              </w:rPr>
              <w:t>30 (15 год лекцій, 15 год</w:t>
            </w:r>
            <w:r w:rsidR="00223AB2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п</w:t>
            </w:r>
            <w:r w:rsidRPr="00EC4EAD">
              <w:rPr>
                <w:rFonts w:eastAsia="Calibri" w:cs="Times New Roman"/>
                <w:b/>
                <w:color w:val="000000"/>
                <w:sz w:val="24"/>
                <w:szCs w:val="24"/>
              </w:rPr>
              <w:t>рактичних</w:t>
            </w:r>
            <w:r w:rsidR="00223AB2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занять</w:t>
            </w:r>
            <w:r w:rsidRPr="00EC4EAD">
              <w:rPr>
                <w:rFonts w:eastAsia="Calibri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</w:tbl>
    <w:p w14:paraId="205A4042" w14:textId="77777777" w:rsidR="008D3875" w:rsidRPr="00EC4EAD" w:rsidRDefault="008D3875" w:rsidP="008D3875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14:paraId="415FF486" w14:textId="77777777" w:rsidR="008D3875" w:rsidRPr="00EC4EAD" w:rsidRDefault="008D3875" w:rsidP="008D3875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b/>
          <w:color w:val="000000"/>
          <w:sz w:val="24"/>
          <w:szCs w:val="24"/>
        </w:rPr>
        <w:t>Загальний опис дисципліни</w:t>
      </w:r>
    </w:p>
    <w:p w14:paraId="19349CA3" w14:textId="77777777" w:rsidR="008D3875" w:rsidRPr="00EC4EAD" w:rsidRDefault="008D3875" w:rsidP="00F31583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У межах зазначеної дисципліни здобувачі вивчають сучасне електричне і електроне обладнання автомобілів та тракторів, контрольно-вимірювальні прилади, електроприводи, систему управління ДВЗ та іншими системами сучасних тракторів та автомобілів. Також студенти освоять сучасні методи і способи діагностування автомобілів та тракторів, деталей, вузлів і агрегатів автомобілів, а також принципи роботи і особливості використання діагностичних приладів.</w:t>
      </w:r>
    </w:p>
    <w:p w14:paraId="1269D888" w14:textId="77777777" w:rsidR="008D3875" w:rsidRPr="00EC4EAD" w:rsidRDefault="008D3875" w:rsidP="00F31583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F31583">
        <w:rPr>
          <w:rFonts w:eastAsia="Calibri" w:cs="Times New Roman"/>
          <w:b/>
          <w:i/>
          <w:color w:val="000000"/>
          <w:sz w:val="24"/>
          <w:szCs w:val="24"/>
        </w:rPr>
        <w:t>Метою</w:t>
      </w:r>
      <w:r w:rsidRPr="00EC4EAD">
        <w:rPr>
          <w:rFonts w:eastAsia="Calibri" w:cs="Times New Roman"/>
          <w:color w:val="000000"/>
          <w:sz w:val="24"/>
          <w:szCs w:val="24"/>
        </w:rPr>
        <w:t xml:space="preserve"> є вивчення сучасних методів і способів діагностування автомобілів та тракторів, а також принципів роботи і особливості використання діагностичних приладів.</w:t>
      </w:r>
    </w:p>
    <w:p w14:paraId="01A49F8B" w14:textId="77777777" w:rsidR="008D3875" w:rsidRPr="00EC4EAD" w:rsidRDefault="008D3875" w:rsidP="008D3875">
      <w:pPr>
        <w:spacing w:after="0" w:line="240" w:lineRule="auto"/>
        <w:ind w:firstLine="709"/>
        <w:jc w:val="both"/>
        <w:rPr>
          <w:rFonts w:eastAsia="Calibri" w:cs="Times New Roman"/>
          <w:color w:val="000000"/>
          <w:sz w:val="24"/>
          <w:szCs w:val="24"/>
        </w:rPr>
      </w:pPr>
    </w:p>
    <w:p w14:paraId="23894B93" w14:textId="77777777" w:rsidR="008D3875" w:rsidRPr="00EC4EAD" w:rsidRDefault="008D3875" w:rsidP="008D3875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  <w:r w:rsidRPr="00EC4EAD">
        <w:rPr>
          <w:rFonts w:eastAsia="Calibri" w:cs="Times New Roman"/>
          <w:b/>
          <w:color w:val="000000"/>
          <w:sz w:val="24"/>
          <w:szCs w:val="24"/>
        </w:rPr>
        <w:t>Теми лекцій:</w:t>
      </w:r>
    </w:p>
    <w:p w14:paraId="65250318" w14:textId="77777777" w:rsidR="008D3875" w:rsidRPr="00EC4EAD" w:rsidRDefault="008D3875" w:rsidP="00F31583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1. Електронні блоки керування.</w:t>
      </w:r>
    </w:p>
    <w:p w14:paraId="57F49A01" w14:textId="77777777" w:rsidR="008D3875" w:rsidRPr="00EC4EAD" w:rsidRDefault="008D3875" w:rsidP="00F31583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2. Обмін даними між діагностичним обладнанням та електронними системами автомобіля.</w:t>
      </w:r>
    </w:p>
    <w:p w14:paraId="5DC4F845" w14:textId="77777777" w:rsidR="008D3875" w:rsidRPr="00EC4EAD" w:rsidRDefault="008D3875" w:rsidP="00F31583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3. Функціонування підсистем самодіагностики.</w:t>
      </w:r>
    </w:p>
    <w:p w14:paraId="68755C16" w14:textId="77777777" w:rsidR="008D3875" w:rsidRPr="00EC4EAD" w:rsidRDefault="008D3875" w:rsidP="00F31583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4. Технології комп’ютерної діагностики.</w:t>
      </w:r>
    </w:p>
    <w:p w14:paraId="795A9CD8" w14:textId="77777777" w:rsidR="008D3875" w:rsidRPr="00EC4EAD" w:rsidRDefault="008D3875" w:rsidP="00F31583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5. Засоби та методи вимірювання діагностичних параметрів електричних систем.</w:t>
      </w:r>
    </w:p>
    <w:p w14:paraId="243FF70B" w14:textId="77777777" w:rsidR="008D3875" w:rsidRPr="00EC4EAD" w:rsidRDefault="008D3875" w:rsidP="00F31583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6. Характеристика засобів діагностування електрообладнання.</w:t>
      </w:r>
    </w:p>
    <w:p w14:paraId="44F51C1D" w14:textId="77777777" w:rsidR="008D3875" w:rsidRPr="00EC4EAD" w:rsidRDefault="008D3875" w:rsidP="00F31583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7. Виявлення несправностей в системах електрообладнання за симптомами та ознаками.</w:t>
      </w:r>
    </w:p>
    <w:p w14:paraId="0A446A71" w14:textId="77777777" w:rsidR="008D3875" w:rsidRPr="00EC4EAD" w:rsidRDefault="008D3875" w:rsidP="00F31583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8. Діагностування електронних блоків та пристроїв.</w:t>
      </w:r>
    </w:p>
    <w:p w14:paraId="7DB425B9" w14:textId="77777777" w:rsidR="008D3875" w:rsidRPr="00EC4EAD" w:rsidRDefault="008D3875" w:rsidP="008D3875">
      <w:pPr>
        <w:spacing w:after="0" w:line="240" w:lineRule="auto"/>
        <w:ind w:firstLine="426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14:paraId="03181EA6" w14:textId="77777777" w:rsidR="008D3875" w:rsidRPr="00EC4EAD" w:rsidRDefault="008D3875" w:rsidP="008D3875">
      <w:pPr>
        <w:spacing w:after="0" w:line="240" w:lineRule="auto"/>
        <w:ind w:firstLine="426"/>
        <w:jc w:val="center"/>
        <w:rPr>
          <w:rFonts w:eastAsia="Calibri" w:cs="Times New Roman"/>
          <w:b/>
          <w:color w:val="000000"/>
          <w:sz w:val="24"/>
          <w:szCs w:val="24"/>
        </w:rPr>
      </w:pPr>
      <w:r w:rsidRPr="00EC4EAD">
        <w:rPr>
          <w:rFonts w:eastAsia="Calibri" w:cs="Times New Roman"/>
          <w:b/>
          <w:color w:val="000000"/>
          <w:sz w:val="24"/>
          <w:szCs w:val="24"/>
        </w:rPr>
        <w:t>Теми практичних занять:</w:t>
      </w:r>
    </w:p>
    <w:p w14:paraId="4F5C8445" w14:textId="77777777" w:rsidR="008D3875" w:rsidRPr="00EC4EAD" w:rsidRDefault="008D3875" w:rsidP="00F31583">
      <w:pPr>
        <w:spacing w:after="0" w:line="240" w:lineRule="auto"/>
        <w:ind w:firstLine="567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1. Контроль параметрів та оперативне виявлення несправностей систем автомобіля за допомогою бортового комп’ютера.</w:t>
      </w:r>
    </w:p>
    <w:p w14:paraId="2B4B2D3A" w14:textId="77777777" w:rsidR="008D3875" w:rsidRPr="00EC4EAD" w:rsidRDefault="008D3875" w:rsidP="00F31583">
      <w:pPr>
        <w:spacing w:after="0" w:line="240" w:lineRule="auto"/>
        <w:ind w:firstLine="567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 xml:space="preserve">2. Комплексне комп’ютерне діагностування </w:t>
      </w:r>
      <w:proofErr w:type="spellStart"/>
      <w:r w:rsidRPr="00EC4EAD">
        <w:rPr>
          <w:rFonts w:eastAsia="Calibri" w:cs="Times New Roman"/>
          <w:color w:val="000000"/>
          <w:sz w:val="24"/>
          <w:szCs w:val="24"/>
        </w:rPr>
        <w:t>енергозасобу</w:t>
      </w:r>
      <w:proofErr w:type="spellEnd"/>
      <w:r w:rsidRPr="00EC4EAD">
        <w:rPr>
          <w:rFonts w:eastAsia="Calibri" w:cs="Times New Roman"/>
          <w:color w:val="000000"/>
          <w:sz w:val="24"/>
          <w:szCs w:val="24"/>
        </w:rPr>
        <w:t>.</w:t>
      </w:r>
    </w:p>
    <w:p w14:paraId="7E12D299" w14:textId="77777777" w:rsidR="008D3875" w:rsidRPr="00EC4EAD" w:rsidRDefault="008D3875" w:rsidP="00F31583">
      <w:pPr>
        <w:spacing w:after="0" w:line="240" w:lineRule="auto"/>
        <w:ind w:firstLine="567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3. Діагностування несправностей системи запалення.</w:t>
      </w:r>
    </w:p>
    <w:p w14:paraId="33263131" w14:textId="77777777" w:rsidR="008D3875" w:rsidRPr="00EC4EAD" w:rsidRDefault="008D3875" w:rsidP="00F31583">
      <w:pPr>
        <w:spacing w:after="0" w:line="240" w:lineRule="auto"/>
        <w:ind w:firstLine="567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4. Комп’ютерне діагностування електронної системи керування  дизельного двигуна.</w:t>
      </w:r>
    </w:p>
    <w:p w14:paraId="5B39F725" w14:textId="77777777" w:rsidR="008D3875" w:rsidRPr="00EC4EAD" w:rsidRDefault="008D3875" w:rsidP="00F31583">
      <w:pPr>
        <w:spacing w:after="0" w:line="240" w:lineRule="auto"/>
        <w:ind w:firstLine="567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5. Комп’ютерна діагностика несправностей і ультразвукове очищення електромагнітних форсунок бензинових двигунів автомобілів.</w:t>
      </w:r>
    </w:p>
    <w:p w14:paraId="59CB382E" w14:textId="77777777" w:rsidR="008D3875" w:rsidRPr="00EC4EAD" w:rsidRDefault="008D3875" w:rsidP="00F31583">
      <w:pPr>
        <w:spacing w:after="0" w:line="240" w:lineRule="auto"/>
        <w:ind w:firstLine="567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6. Мобільно-оперативне комп’ютерне діагностування систем тракторів та автомобіля.</w:t>
      </w:r>
    </w:p>
    <w:p w14:paraId="64373292" w14:textId="77777777" w:rsidR="008D3875" w:rsidRDefault="008D3875" w:rsidP="008D3875"/>
    <w:p w14:paraId="085D3460" w14:textId="12E3B96B" w:rsidR="001167D9" w:rsidRPr="008D3875" w:rsidRDefault="001167D9" w:rsidP="008D3875"/>
    <w:sectPr w:rsidR="001167D9" w:rsidRPr="008D38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1617"/>
    <w:multiLevelType w:val="hybridMultilevel"/>
    <w:tmpl w:val="3D4ACD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40C8A"/>
    <w:multiLevelType w:val="hybridMultilevel"/>
    <w:tmpl w:val="6EE6E48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93AAA"/>
    <w:multiLevelType w:val="hybridMultilevel"/>
    <w:tmpl w:val="E9F01CC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1978D6"/>
    <w:multiLevelType w:val="hybridMultilevel"/>
    <w:tmpl w:val="1B808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447" w:hanging="360"/>
      </w:pPr>
    </w:lvl>
    <w:lvl w:ilvl="2" w:tplc="0422001B" w:tentative="1">
      <w:start w:val="1"/>
      <w:numFmt w:val="lowerRoman"/>
      <w:lvlText w:val="%3."/>
      <w:lvlJc w:val="right"/>
      <w:pPr>
        <w:ind w:left="1167" w:hanging="180"/>
      </w:pPr>
    </w:lvl>
    <w:lvl w:ilvl="3" w:tplc="0422000F" w:tentative="1">
      <w:start w:val="1"/>
      <w:numFmt w:val="decimal"/>
      <w:lvlText w:val="%4."/>
      <w:lvlJc w:val="left"/>
      <w:pPr>
        <w:ind w:left="1887" w:hanging="360"/>
      </w:pPr>
    </w:lvl>
    <w:lvl w:ilvl="4" w:tplc="04220019" w:tentative="1">
      <w:start w:val="1"/>
      <w:numFmt w:val="lowerLetter"/>
      <w:lvlText w:val="%5."/>
      <w:lvlJc w:val="left"/>
      <w:pPr>
        <w:ind w:left="2607" w:hanging="360"/>
      </w:pPr>
    </w:lvl>
    <w:lvl w:ilvl="5" w:tplc="0422001B" w:tentative="1">
      <w:start w:val="1"/>
      <w:numFmt w:val="lowerRoman"/>
      <w:lvlText w:val="%6."/>
      <w:lvlJc w:val="right"/>
      <w:pPr>
        <w:ind w:left="3327" w:hanging="180"/>
      </w:pPr>
    </w:lvl>
    <w:lvl w:ilvl="6" w:tplc="0422000F" w:tentative="1">
      <w:start w:val="1"/>
      <w:numFmt w:val="decimal"/>
      <w:lvlText w:val="%7."/>
      <w:lvlJc w:val="left"/>
      <w:pPr>
        <w:ind w:left="4047" w:hanging="360"/>
      </w:pPr>
    </w:lvl>
    <w:lvl w:ilvl="7" w:tplc="04220019" w:tentative="1">
      <w:start w:val="1"/>
      <w:numFmt w:val="lowerLetter"/>
      <w:lvlText w:val="%8."/>
      <w:lvlJc w:val="left"/>
      <w:pPr>
        <w:ind w:left="4767" w:hanging="360"/>
      </w:pPr>
    </w:lvl>
    <w:lvl w:ilvl="8" w:tplc="0422001B" w:tentative="1">
      <w:start w:val="1"/>
      <w:numFmt w:val="lowerRoman"/>
      <w:lvlText w:val="%9."/>
      <w:lvlJc w:val="right"/>
      <w:pPr>
        <w:ind w:left="5487" w:hanging="180"/>
      </w:pPr>
    </w:lvl>
  </w:abstractNum>
  <w:num w:numId="1" w16cid:durableId="570165906">
    <w:abstractNumId w:val="1"/>
  </w:num>
  <w:num w:numId="2" w16cid:durableId="971132304">
    <w:abstractNumId w:val="3"/>
  </w:num>
  <w:num w:numId="3" w16cid:durableId="1317227363">
    <w:abstractNumId w:val="0"/>
  </w:num>
  <w:num w:numId="4" w16cid:durableId="662586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909"/>
    <w:rsid w:val="00033BCA"/>
    <w:rsid w:val="00047A0F"/>
    <w:rsid w:val="0008511A"/>
    <w:rsid w:val="001167D9"/>
    <w:rsid w:val="00222D65"/>
    <w:rsid w:val="00223AB2"/>
    <w:rsid w:val="00264909"/>
    <w:rsid w:val="002A5205"/>
    <w:rsid w:val="00362DEF"/>
    <w:rsid w:val="003C4A02"/>
    <w:rsid w:val="003C7EDA"/>
    <w:rsid w:val="003E0A46"/>
    <w:rsid w:val="00471647"/>
    <w:rsid w:val="00471D1D"/>
    <w:rsid w:val="00481F44"/>
    <w:rsid w:val="00482856"/>
    <w:rsid w:val="00560B3D"/>
    <w:rsid w:val="006C0AB8"/>
    <w:rsid w:val="00725395"/>
    <w:rsid w:val="00764C5C"/>
    <w:rsid w:val="007E4BEE"/>
    <w:rsid w:val="00854948"/>
    <w:rsid w:val="008D3875"/>
    <w:rsid w:val="00991BE0"/>
    <w:rsid w:val="00B56630"/>
    <w:rsid w:val="00C470F2"/>
    <w:rsid w:val="00CA38FF"/>
    <w:rsid w:val="00D71652"/>
    <w:rsid w:val="00E14D59"/>
    <w:rsid w:val="00E46134"/>
    <w:rsid w:val="00F170FD"/>
    <w:rsid w:val="00F3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38D3"/>
  <w15:docId w15:val="{E4B08C66-0423-4270-AFEC-E5015643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875"/>
    <w:pPr>
      <w:spacing w:after="200" w:line="276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20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5205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033BCA"/>
    <w:pPr>
      <w:spacing w:after="0" w:line="240" w:lineRule="auto"/>
      <w:ind w:firstLine="709"/>
      <w:jc w:val="both"/>
    </w:pPr>
    <w:rPr>
      <w:rFonts w:ascii="Arial" w:hAnsi="Arial" w:cs="Arial"/>
      <w:b/>
      <w:color w:val="000000" w:themeColor="text1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033BCA"/>
    <w:rPr>
      <w:rFonts w:ascii="Arial" w:hAnsi="Arial" w:cs="Arial"/>
      <w:b/>
      <w:color w:val="000000" w:themeColor="text1"/>
      <w:sz w:val="28"/>
      <w:szCs w:val="28"/>
      <w:lang w:val="uk-UA"/>
    </w:rPr>
  </w:style>
  <w:style w:type="table" w:customStyle="1" w:styleId="1">
    <w:name w:val="Сетка таблицы1"/>
    <w:basedOn w:val="a1"/>
    <w:next w:val="a3"/>
    <w:uiPriority w:val="39"/>
    <w:rsid w:val="008D3875"/>
    <w:pPr>
      <w:spacing w:after="0" w:line="240" w:lineRule="auto"/>
    </w:pPr>
    <w:rPr>
      <w:rFonts w:ascii="Calibri" w:hAnsi="Calibri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1277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Nelya</cp:lastModifiedBy>
  <cp:revision>12</cp:revision>
  <dcterms:created xsi:type="dcterms:W3CDTF">2021-10-13T12:45:00Z</dcterms:created>
  <dcterms:modified xsi:type="dcterms:W3CDTF">2024-10-22T08:00:00Z</dcterms:modified>
</cp:coreProperties>
</file>